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25F18" w14:textId="28B2BE68" w:rsidR="006935D3" w:rsidRPr="0069088C" w:rsidRDefault="00AC07C0" w:rsidP="006B7A49">
      <w:pPr>
        <w:spacing w:line="276" w:lineRule="auto"/>
        <w:rPr>
          <w:rStyle w:val="fontstyle01"/>
          <w:rFonts w:ascii="Times New Roman" w:eastAsiaTheme="majorEastAsia" w:hAnsi="Times New Roman" w:cs="Times New Roman"/>
          <w:b/>
          <w:color w:val="000000" w:themeColor="text1"/>
          <w:sz w:val="28"/>
          <w:szCs w:val="24"/>
          <w:lang w:val="en-US"/>
        </w:rPr>
      </w:pPr>
      <w:r w:rsidRPr="0069088C">
        <w:rPr>
          <w:rFonts w:ascii="Times New Roman" w:eastAsiaTheme="majorEastAsia" w:hAnsi="Times New Roman" w:cs="Times New Roman"/>
          <w:b/>
          <w:color w:val="000000" w:themeColor="text1"/>
          <w:sz w:val="28"/>
          <w:lang w:val="en-US"/>
        </w:rPr>
        <w:t>S</w:t>
      </w:r>
      <w:r w:rsidR="00AC28FD" w:rsidRPr="0069088C">
        <w:rPr>
          <w:rFonts w:ascii="Times New Roman" w:eastAsiaTheme="majorEastAsia" w:hAnsi="Times New Roman" w:cs="Times New Roman"/>
          <w:b/>
          <w:color w:val="000000" w:themeColor="text1"/>
          <w:sz w:val="28"/>
          <w:lang w:val="en-US"/>
        </w:rPr>
        <w:t xml:space="preserve">ynergistic </w:t>
      </w:r>
      <w:r w:rsidRPr="0069088C">
        <w:rPr>
          <w:rFonts w:ascii="Times New Roman" w:eastAsiaTheme="majorEastAsia" w:hAnsi="Times New Roman" w:cs="Times New Roman"/>
          <w:b/>
          <w:color w:val="000000" w:themeColor="text1"/>
          <w:sz w:val="28"/>
          <w:lang w:val="en-US"/>
        </w:rPr>
        <w:t xml:space="preserve">enhancement </w:t>
      </w:r>
      <w:r w:rsidR="00AC28FD" w:rsidRPr="0069088C">
        <w:rPr>
          <w:rFonts w:ascii="Times New Roman" w:eastAsiaTheme="majorEastAsia" w:hAnsi="Times New Roman" w:cs="Times New Roman"/>
          <w:b/>
          <w:color w:val="000000" w:themeColor="text1"/>
          <w:sz w:val="28"/>
          <w:lang w:val="en-US"/>
        </w:rPr>
        <w:t xml:space="preserve">effects of </w:t>
      </w:r>
      <w:r w:rsidRPr="0069088C">
        <w:rPr>
          <w:rFonts w:ascii="Times New Roman" w:eastAsiaTheme="majorEastAsia" w:hAnsi="Times New Roman" w:cs="Times New Roman"/>
          <w:b/>
          <w:color w:val="000000" w:themeColor="text1"/>
          <w:sz w:val="28"/>
          <w:lang w:val="en-US"/>
        </w:rPr>
        <w:t>combined</w:t>
      </w:r>
      <w:r w:rsidR="00AC28FD" w:rsidRPr="0069088C">
        <w:rPr>
          <w:rFonts w:ascii="Times New Roman" w:eastAsiaTheme="majorEastAsia" w:hAnsi="Times New Roman" w:cs="Times New Roman"/>
          <w:b/>
          <w:color w:val="000000" w:themeColor="text1"/>
          <w:sz w:val="28"/>
          <w:lang w:val="en-US"/>
        </w:rPr>
        <w:t xml:space="preserve"> </w:t>
      </w:r>
      <w:r w:rsidR="001E652B" w:rsidRPr="0069088C">
        <w:rPr>
          <w:rFonts w:ascii="Times New Roman" w:eastAsiaTheme="majorEastAsia" w:hAnsi="Times New Roman" w:cs="Times New Roman"/>
          <w:b/>
          <w:color w:val="000000" w:themeColor="text1"/>
          <w:sz w:val="28"/>
          <w:lang w:val="en-US"/>
        </w:rPr>
        <w:t xml:space="preserve">antimicrobial </w:t>
      </w:r>
      <w:r w:rsidRPr="0069088C">
        <w:rPr>
          <w:rFonts w:ascii="Times New Roman" w:eastAsiaTheme="majorEastAsia" w:hAnsi="Times New Roman" w:cs="Times New Roman"/>
          <w:b/>
          <w:color w:val="000000" w:themeColor="text1"/>
          <w:sz w:val="28"/>
          <w:lang w:val="en-US"/>
        </w:rPr>
        <w:t>therapies</w:t>
      </w:r>
      <w:r w:rsidR="006935D3" w:rsidRPr="0069088C">
        <w:rPr>
          <w:rFonts w:ascii="Times New Roman" w:eastAsiaTheme="majorEastAsia" w:hAnsi="Times New Roman" w:cs="Times New Roman"/>
          <w:b/>
          <w:color w:val="000000" w:themeColor="text1"/>
          <w:sz w:val="28"/>
          <w:lang w:val="en-US"/>
        </w:rPr>
        <w:t xml:space="preserve"> to reduce antibiotic resistance</w:t>
      </w:r>
      <w:r w:rsidR="006935D3" w:rsidRPr="0069088C" w:rsidDel="006935D3">
        <w:rPr>
          <w:rFonts w:ascii="Times New Roman" w:eastAsiaTheme="majorEastAsia" w:hAnsi="Times New Roman" w:cs="Times New Roman"/>
          <w:b/>
          <w:color w:val="000000" w:themeColor="text1"/>
          <w:sz w:val="28"/>
          <w:lang w:val="en-US"/>
        </w:rPr>
        <w:t xml:space="preserve"> </w:t>
      </w:r>
    </w:p>
    <w:p w14:paraId="146E1534" w14:textId="55FEC047" w:rsidR="006B7A49" w:rsidRPr="005F04B9" w:rsidRDefault="006B7A49" w:rsidP="006B7A49">
      <w:pPr>
        <w:spacing w:line="276" w:lineRule="auto"/>
        <w:jc w:val="center"/>
        <w:rPr>
          <w:rStyle w:val="fontstyle01"/>
          <w:rFonts w:ascii="Times New Roman" w:eastAsiaTheme="majorEastAsia" w:hAnsi="Times New Roman" w:cs="Times New Roman"/>
          <w:spacing w:val="-10"/>
          <w:kern w:val="28"/>
          <w:sz w:val="24"/>
          <w:szCs w:val="24"/>
        </w:rPr>
      </w:pPr>
      <w:r w:rsidRPr="005F04B9">
        <w:rPr>
          <w:rStyle w:val="fontstyle01"/>
          <w:rFonts w:ascii="Times New Roman" w:eastAsiaTheme="majorEastAsia" w:hAnsi="Times New Roman" w:cs="Times New Roman"/>
          <w:spacing w:val="-10"/>
          <w:kern w:val="28"/>
          <w:sz w:val="24"/>
          <w:szCs w:val="24"/>
        </w:rPr>
        <w:t>Jennifer M</w:t>
      </w:r>
      <w:r w:rsidR="005F04B9">
        <w:rPr>
          <w:rStyle w:val="fontstyle01"/>
          <w:rFonts w:ascii="Times New Roman" w:eastAsiaTheme="majorEastAsia" w:hAnsi="Times New Roman" w:cs="Times New Roman"/>
          <w:spacing w:val="-10"/>
          <w:kern w:val="28"/>
          <w:sz w:val="24"/>
          <w:szCs w:val="24"/>
        </w:rPr>
        <w:t>.</w:t>
      </w:r>
      <w:r w:rsidRPr="005F04B9">
        <w:rPr>
          <w:rStyle w:val="fontstyle01"/>
          <w:rFonts w:ascii="Times New Roman" w:eastAsiaTheme="majorEastAsia" w:hAnsi="Times New Roman" w:cs="Times New Roman"/>
          <w:spacing w:val="-10"/>
          <w:kern w:val="28"/>
          <w:sz w:val="24"/>
          <w:szCs w:val="24"/>
        </w:rPr>
        <w:t xml:space="preserve"> Soares</w:t>
      </w:r>
      <w:proofErr w:type="gramStart"/>
      <w:r w:rsidRPr="005F04B9">
        <w:rPr>
          <w:rStyle w:val="fontstyle01"/>
          <w:rFonts w:ascii="Times New Roman" w:eastAsiaTheme="majorEastAsia" w:hAnsi="Times New Roman" w:cs="Times New Roman"/>
          <w:spacing w:val="-10"/>
          <w:kern w:val="28"/>
          <w:sz w:val="24"/>
          <w:szCs w:val="24"/>
          <w:vertAlign w:val="superscript"/>
        </w:rPr>
        <w:t>1,</w:t>
      </w:r>
      <w:r w:rsidR="005F04B9">
        <w:rPr>
          <w:rStyle w:val="fontstyle01"/>
          <w:rFonts w:ascii="Times New Roman" w:eastAsiaTheme="majorEastAsia" w:hAnsi="Times New Roman" w:cs="Times New Roman"/>
          <w:spacing w:val="-10"/>
          <w:kern w:val="28"/>
          <w:sz w:val="24"/>
          <w:szCs w:val="24"/>
        </w:rPr>
        <w:t>*</w:t>
      </w:r>
      <w:proofErr w:type="gramEnd"/>
      <w:r w:rsidR="005F04B9">
        <w:rPr>
          <w:rStyle w:val="fontstyle01"/>
          <w:rFonts w:ascii="Times New Roman" w:eastAsiaTheme="majorEastAsia" w:hAnsi="Times New Roman" w:cs="Times New Roman"/>
          <w:spacing w:val="-10"/>
          <w:kern w:val="28"/>
          <w:sz w:val="24"/>
          <w:szCs w:val="24"/>
        </w:rPr>
        <w:t>, Francisco E.</w:t>
      </w:r>
      <w:r w:rsidRPr="005F04B9">
        <w:rPr>
          <w:rStyle w:val="fontstyle01"/>
          <w:rFonts w:ascii="Times New Roman" w:eastAsiaTheme="majorEastAsia" w:hAnsi="Times New Roman" w:cs="Times New Roman"/>
          <w:spacing w:val="-10"/>
          <w:kern w:val="28"/>
          <w:sz w:val="24"/>
          <w:szCs w:val="24"/>
        </w:rPr>
        <w:t xml:space="preserve"> G</w:t>
      </w:r>
      <w:r w:rsidR="005F04B9">
        <w:rPr>
          <w:rStyle w:val="fontstyle01"/>
          <w:rFonts w:ascii="Times New Roman" w:eastAsiaTheme="majorEastAsia" w:hAnsi="Times New Roman" w:cs="Times New Roman"/>
          <w:spacing w:val="-10"/>
          <w:kern w:val="28"/>
          <w:sz w:val="24"/>
          <w:szCs w:val="24"/>
        </w:rPr>
        <w:t>.</w:t>
      </w:r>
      <w:r w:rsidRPr="005F04B9">
        <w:rPr>
          <w:rStyle w:val="fontstyle01"/>
          <w:rFonts w:ascii="Times New Roman" w:eastAsiaTheme="majorEastAsia" w:hAnsi="Times New Roman" w:cs="Times New Roman"/>
          <w:spacing w:val="-10"/>
          <w:kern w:val="28"/>
          <w:sz w:val="24"/>
          <w:szCs w:val="24"/>
        </w:rPr>
        <w:t xml:space="preserve"> Guimarães</w:t>
      </w:r>
      <w:r w:rsidRPr="005F04B9">
        <w:rPr>
          <w:rStyle w:val="fontstyle01"/>
          <w:rFonts w:ascii="Times New Roman" w:eastAsiaTheme="majorEastAsia" w:hAnsi="Times New Roman" w:cs="Times New Roman"/>
          <w:spacing w:val="-10"/>
          <w:kern w:val="28"/>
          <w:sz w:val="24"/>
          <w:szCs w:val="24"/>
          <w:vertAlign w:val="superscript"/>
        </w:rPr>
        <w:t>1</w:t>
      </w:r>
      <w:r w:rsidRPr="005F04B9">
        <w:rPr>
          <w:rStyle w:val="fontstyle01"/>
          <w:rFonts w:ascii="Times New Roman" w:eastAsiaTheme="majorEastAsia" w:hAnsi="Times New Roman" w:cs="Times New Roman"/>
          <w:spacing w:val="-10"/>
          <w:kern w:val="28"/>
          <w:sz w:val="24"/>
          <w:szCs w:val="24"/>
        </w:rPr>
        <w:t xml:space="preserve">, </w:t>
      </w:r>
      <w:proofErr w:type="spellStart"/>
      <w:r w:rsidR="005F04B9" w:rsidRPr="005F04B9">
        <w:rPr>
          <w:rStyle w:val="fontstyle01"/>
          <w:rFonts w:ascii="Times New Roman" w:eastAsiaTheme="majorEastAsia" w:hAnsi="Times New Roman" w:cs="Times New Roman"/>
          <w:spacing w:val="-10"/>
          <w:kern w:val="28"/>
          <w:sz w:val="24"/>
          <w:szCs w:val="24"/>
        </w:rPr>
        <w:t>Vladislav</w:t>
      </w:r>
      <w:proofErr w:type="spellEnd"/>
      <w:r w:rsidR="005F04B9" w:rsidRPr="005F04B9">
        <w:rPr>
          <w:rStyle w:val="fontstyle01"/>
          <w:rFonts w:ascii="Times New Roman" w:eastAsiaTheme="majorEastAsia" w:hAnsi="Times New Roman" w:cs="Times New Roman"/>
          <w:spacing w:val="-10"/>
          <w:kern w:val="28"/>
          <w:sz w:val="24"/>
          <w:szCs w:val="24"/>
        </w:rPr>
        <w:t xml:space="preserve"> V. Yakovlev</w:t>
      </w:r>
      <w:r w:rsidR="005F04B9">
        <w:rPr>
          <w:rStyle w:val="fontstyle01"/>
          <w:rFonts w:ascii="Times New Roman" w:eastAsiaTheme="majorEastAsia" w:hAnsi="Times New Roman" w:cs="Times New Roman"/>
          <w:spacing w:val="-10"/>
          <w:kern w:val="28"/>
          <w:sz w:val="24"/>
          <w:szCs w:val="24"/>
        </w:rPr>
        <w:t>²,</w:t>
      </w:r>
    </w:p>
    <w:p w14:paraId="323A4C07" w14:textId="295EA9A8" w:rsidR="006B7A49" w:rsidRPr="005F04B9" w:rsidRDefault="005F04B9" w:rsidP="006B7A49">
      <w:pPr>
        <w:spacing w:line="276" w:lineRule="auto"/>
        <w:jc w:val="center"/>
        <w:rPr>
          <w:rStyle w:val="fontstyle01"/>
          <w:rFonts w:ascii="Times New Roman" w:eastAsiaTheme="majorEastAsia" w:hAnsi="Times New Roman" w:cs="Times New Roman"/>
          <w:spacing w:val="-10"/>
          <w:kern w:val="28"/>
          <w:sz w:val="24"/>
          <w:szCs w:val="24"/>
        </w:rPr>
      </w:pPr>
      <w:r>
        <w:rPr>
          <w:rStyle w:val="fontstyle01"/>
          <w:rFonts w:ascii="Times New Roman" w:eastAsiaTheme="majorEastAsia" w:hAnsi="Times New Roman" w:cs="Times New Roman"/>
          <w:spacing w:val="-10"/>
          <w:kern w:val="28"/>
          <w:sz w:val="24"/>
          <w:szCs w:val="24"/>
        </w:rPr>
        <w:t>Vanderlei S.</w:t>
      </w:r>
      <w:r w:rsidR="006B7A49" w:rsidRPr="005F04B9">
        <w:rPr>
          <w:rStyle w:val="fontstyle01"/>
          <w:rFonts w:ascii="Times New Roman" w:eastAsiaTheme="majorEastAsia" w:hAnsi="Times New Roman" w:cs="Times New Roman"/>
          <w:spacing w:val="-10"/>
          <w:kern w:val="28"/>
          <w:sz w:val="24"/>
          <w:szCs w:val="24"/>
        </w:rPr>
        <w:t xml:space="preserve"> Bagnato</w:t>
      </w:r>
      <w:r w:rsidR="006B7A49" w:rsidRPr="005F04B9">
        <w:rPr>
          <w:rStyle w:val="fontstyle01"/>
          <w:rFonts w:ascii="Times New Roman" w:eastAsiaTheme="majorEastAsia" w:hAnsi="Times New Roman" w:cs="Times New Roman"/>
          <w:spacing w:val="-10"/>
          <w:kern w:val="28"/>
          <w:sz w:val="24"/>
          <w:szCs w:val="24"/>
          <w:vertAlign w:val="superscript"/>
        </w:rPr>
        <w:t>1,2</w:t>
      </w:r>
      <w:r w:rsidR="006B7A49" w:rsidRPr="005F04B9">
        <w:rPr>
          <w:rStyle w:val="fontstyle01"/>
          <w:rFonts w:ascii="Times New Roman" w:eastAsiaTheme="majorEastAsia" w:hAnsi="Times New Roman" w:cs="Times New Roman"/>
          <w:spacing w:val="-10"/>
          <w:kern w:val="28"/>
          <w:sz w:val="24"/>
          <w:szCs w:val="24"/>
        </w:rPr>
        <w:t>, and Kate C</w:t>
      </w:r>
      <w:r>
        <w:rPr>
          <w:rStyle w:val="fontstyle01"/>
          <w:rFonts w:ascii="Times New Roman" w:eastAsiaTheme="majorEastAsia" w:hAnsi="Times New Roman" w:cs="Times New Roman"/>
          <w:spacing w:val="-10"/>
          <w:kern w:val="28"/>
          <w:sz w:val="24"/>
          <w:szCs w:val="24"/>
        </w:rPr>
        <w:t>.</w:t>
      </w:r>
      <w:r w:rsidR="006B7A49" w:rsidRPr="005F04B9">
        <w:rPr>
          <w:rStyle w:val="fontstyle01"/>
          <w:rFonts w:ascii="Times New Roman" w:eastAsiaTheme="majorEastAsia" w:hAnsi="Times New Roman" w:cs="Times New Roman"/>
          <w:spacing w:val="-10"/>
          <w:kern w:val="28"/>
          <w:sz w:val="24"/>
          <w:szCs w:val="24"/>
        </w:rPr>
        <w:t xml:space="preserve"> Blanco</w:t>
      </w:r>
      <w:r w:rsidR="006B7A49" w:rsidRPr="005F04B9">
        <w:rPr>
          <w:rStyle w:val="fontstyle01"/>
          <w:rFonts w:ascii="Times New Roman" w:eastAsiaTheme="majorEastAsia" w:hAnsi="Times New Roman" w:cs="Times New Roman"/>
          <w:spacing w:val="-10"/>
          <w:kern w:val="28"/>
          <w:sz w:val="24"/>
          <w:szCs w:val="24"/>
          <w:vertAlign w:val="superscript"/>
        </w:rPr>
        <w:t>1</w:t>
      </w:r>
      <w:r w:rsidR="006B7A49" w:rsidRPr="005F04B9">
        <w:rPr>
          <w:rStyle w:val="fontstyle01"/>
          <w:rFonts w:ascii="Times New Roman" w:eastAsiaTheme="majorEastAsia" w:hAnsi="Times New Roman" w:cs="Times New Roman"/>
          <w:spacing w:val="-10"/>
          <w:kern w:val="28"/>
          <w:sz w:val="24"/>
          <w:szCs w:val="24"/>
        </w:rPr>
        <w:t>.</w:t>
      </w:r>
    </w:p>
    <w:p w14:paraId="01838695" w14:textId="29C3399E" w:rsidR="006B7A49" w:rsidRPr="005F04B9" w:rsidRDefault="006B7A49" w:rsidP="006B7A49">
      <w:pPr>
        <w:spacing w:line="276" w:lineRule="auto"/>
        <w:rPr>
          <w:rStyle w:val="fontstyle01"/>
          <w:rFonts w:ascii="Times New Roman" w:eastAsiaTheme="majorEastAsia" w:hAnsi="Times New Roman" w:cs="Times New Roman"/>
          <w:spacing w:val="-10"/>
          <w:kern w:val="28"/>
          <w:sz w:val="20"/>
          <w:szCs w:val="20"/>
        </w:rPr>
      </w:pPr>
      <w:r w:rsidRPr="005F04B9">
        <w:rPr>
          <w:rStyle w:val="fontstyle01"/>
          <w:rFonts w:ascii="Times New Roman" w:eastAsiaTheme="majorEastAsia" w:hAnsi="Times New Roman" w:cs="Times New Roman"/>
          <w:spacing w:val="-10"/>
          <w:kern w:val="28"/>
          <w:sz w:val="20"/>
          <w:szCs w:val="20"/>
          <w:vertAlign w:val="superscript"/>
        </w:rPr>
        <w:t xml:space="preserve">1 </w:t>
      </w:r>
      <w:r w:rsidRPr="005F04B9">
        <w:rPr>
          <w:rStyle w:val="fontstyle01"/>
          <w:rFonts w:ascii="Times New Roman" w:eastAsiaTheme="majorEastAsia" w:hAnsi="Times New Roman" w:cs="Times New Roman"/>
          <w:spacing w:val="-10"/>
          <w:kern w:val="28"/>
          <w:sz w:val="20"/>
          <w:szCs w:val="20"/>
        </w:rPr>
        <w:t xml:space="preserve">São Carlos </w:t>
      </w:r>
      <w:proofErr w:type="spellStart"/>
      <w:r w:rsidRPr="005F04B9">
        <w:rPr>
          <w:rStyle w:val="fontstyle01"/>
          <w:rFonts w:ascii="Times New Roman" w:eastAsiaTheme="majorEastAsia" w:hAnsi="Times New Roman" w:cs="Times New Roman"/>
          <w:spacing w:val="-10"/>
          <w:kern w:val="28"/>
          <w:sz w:val="20"/>
          <w:szCs w:val="20"/>
        </w:rPr>
        <w:t>Institute</w:t>
      </w:r>
      <w:proofErr w:type="spellEnd"/>
      <w:r w:rsidRPr="005F04B9">
        <w:rPr>
          <w:rStyle w:val="fontstyle01"/>
          <w:rFonts w:ascii="Times New Roman" w:eastAsiaTheme="majorEastAsia" w:hAnsi="Times New Roman" w:cs="Times New Roman"/>
          <w:spacing w:val="-10"/>
          <w:kern w:val="28"/>
          <w:sz w:val="20"/>
          <w:szCs w:val="20"/>
        </w:rPr>
        <w:t xml:space="preserve"> </w:t>
      </w:r>
      <w:proofErr w:type="spellStart"/>
      <w:r w:rsidRPr="005F04B9">
        <w:rPr>
          <w:rStyle w:val="fontstyle01"/>
          <w:rFonts w:ascii="Times New Roman" w:eastAsiaTheme="majorEastAsia" w:hAnsi="Times New Roman" w:cs="Times New Roman"/>
          <w:spacing w:val="-10"/>
          <w:kern w:val="28"/>
          <w:sz w:val="20"/>
          <w:szCs w:val="20"/>
        </w:rPr>
        <w:t>of</w:t>
      </w:r>
      <w:proofErr w:type="spellEnd"/>
      <w:r w:rsidRPr="005F04B9">
        <w:rPr>
          <w:rStyle w:val="fontstyle01"/>
          <w:rFonts w:ascii="Times New Roman" w:eastAsiaTheme="majorEastAsia" w:hAnsi="Times New Roman" w:cs="Times New Roman"/>
          <w:spacing w:val="-10"/>
          <w:kern w:val="28"/>
          <w:sz w:val="20"/>
          <w:szCs w:val="20"/>
        </w:rPr>
        <w:t xml:space="preserve"> </w:t>
      </w:r>
      <w:proofErr w:type="spellStart"/>
      <w:r w:rsidRPr="005F04B9">
        <w:rPr>
          <w:rStyle w:val="fontstyle01"/>
          <w:rFonts w:ascii="Times New Roman" w:eastAsiaTheme="majorEastAsia" w:hAnsi="Times New Roman" w:cs="Times New Roman"/>
          <w:spacing w:val="-10"/>
          <w:kern w:val="28"/>
          <w:sz w:val="20"/>
          <w:szCs w:val="20"/>
        </w:rPr>
        <w:t>Physics</w:t>
      </w:r>
      <w:proofErr w:type="spellEnd"/>
      <w:r w:rsidRPr="005F04B9">
        <w:rPr>
          <w:rStyle w:val="fontstyle01"/>
          <w:rFonts w:ascii="Times New Roman" w:eastAsiaTheme="majorEastAsia" w:hAnsi="Times New Roman" w:cs="Times New Roman"/>
          <w:spacing w:val="-10"/>
          <w:kern w:val="28"/>
          <w:sz w:val="20"/>
          <w:szCs w:val="20"/>
        </w:rPr>
        <w:t xml:space="preserve">, </w:t>
      </w:r>
      <w:proofErr w:type="spellStart"/>
      <w:r w:rsidRPr="005F04B9">
        <w:rPr>
          <w:rStyle w:val="fontstyle01"/>
          <w:rFonts w:ascii="Times New Roman" w:eastAsiaTheme="majorEastAsia" w:hAnsi="Times New Roman" w:cs="Times New Roman"/>
          <w:spacing w:val="-10"/>
          <w:kern w:val="28"/>
          <w:sz w:val="20"/>
          <w:szCs w:val="20"/>
        </w:rPr>
        <w:t>University</w:t>
      </w:r>
      <w:proofErr w:type="spellEnd"/>
      <w:r w:rsidRPr="005F04B9">
        <w:rPr>
          <w:rStyle w:val="fontstyle01"/>
          <w:rFonts w:ascii="Times New Roman" w:eastAsiaTheme="majorEastAsia" w:hAnsi="Times New Roman" w:cs="Times New Roman"/>
          <w:spacing w:val="-10"/>
          <w:kern w:val="28"/>
          <w:sz w:val="20"/>
          <w:szCs w:val="20"/>
        </w:rPr>
        <w:t xml:space="preserve"> </w:t>
      </w:r>
      <w:proofErr w:type="spellStart"/>
      <w:r w:rsidRPr="005F04B9">
        <w:rPr>
          <w:rStyle w:val="fontstyle01"/>
          <w:rFonts w:ascii="Times New Roman" w:eastAsiaTheme="majorEastAsia" w:hAnsi="Times New Roman" w:cs="Times New Roman"/>
          <w:spacing w:val="-10"/>
          <w:kern w:val="28"/>
          <w:sz w:val="20"/>
          <w:szCs w:val="20"/>
        </w:rPr>
        <w:t>of</w:t>
      </w:r>
      <w:proofErr w:type="spellEnd"/>
      <w:r w:rsidRPr="005F04B9">
        <w:rPr>
          <w:rStyle w:val="fontstyle01"/>
          <w:rFonts w:ascii="Times New Roman" w:eastAsiaTheme="majorEastAsia" w:hAnsi="Times New Roman" w:cs="Times New Roman"/>
          <w:spacing w:val="-10"/>
          <w:kern w:val="28"/>
          <w:sz w:val="20"/>
          <w:szCs w:val="20"/>
        </w:rPr>
        <w:t xml:space="preserve"> São Paulo </w:t>
      </w:r>
      <w:proofErr w:type="gramStart"/>
      <w:r w:rsidRPr="005F04B9">
        <w:rPr>
          <w:rStyle w:val="fontstyle01"/>
          <w:rFonts w:ascii="Times New Roman" w:eastAsiaTheme="majorEastAsia" w:hAnsi="Times New Roman" w:cs="Times New Roman"/>
          <w:spacing w:val="-10"/>
          <w:kern w:val="28"/>
          <w:sz w:val="20"/>
          <w:szCs w:val="20"/>
        </w:rPr>
        <w:t>–  São</w:t>
      </w:r>
      <w:proofErr w:type="gramEnd"/>
      <w:r w:rsidRPr="005F04B9">
        <w:rPr>
          <w:rStyle w:val="fontstyle01"/>
          <w:rFonts w:ascii="Times New Roman" w:eastAsiaTheme="majorEastAsia" w:hAnsi="Times New Roman" w:cs="Times New Roman"/>
          <w:spacing w:val="-10"/>
          <w:kern w:val="28"/>
          <w:sz w:val="20"/>
          <w:szCs w:val="20"/>
        </w:rPr>
        <w:t xml:space="preserve"> Carlos - SP, </w:t>
      </w:r>
      <w:proofErr w:type="spellStart"/>
      <w:r w:rsidRPr="005F04B9">
        <w:rPr>
          <w:rStyle w:val="fontstyle01"/>
          <w:rFonts w:ascii="Times New Roman" w:eastAsiaTheme="majorEastAsia" w:hAnsi="Times New Roman" w:cs="Times New Roman"/>
          <w:spacing w:val="-10"/>
          <w:kern w:val="28"/>
          <w:sz w:val="20"/>
          <w:szCs w:val="20"/>
        </w:rPr>
        <w:t>Brazil</w:t>
      </w:r>
      <w:proofErr w:type="spellEnd"/>
    </w:p>
    <w:p w14:paraId="2DCEC26B" w14:textId="1A1869D1" w:rsidR="006B7A49" w:rsidRPr="005F04B9" w:rsidRDefault="006B7A49" w:rsidP="005F04B9">
      <w:pPr>
        <w:spacing w:line="276" w:lineRule="auto"/>
        <w:rPr>
          <w:rStyle w:val="fontstyle01"/>
          <w:rFonts w:ascii="Times New Roman" w:eastAsiaTheme="majorEastAsia" w:hAnsi="Times New Roman" w:cs="Times New Roman"/>
          <w:spacing w:val="-10"/>
          <w:kern w:val="28"/>
          <w:sz w:val="20"/>
          <w:szCs w:val="20"/>
          <w:lang w:val="en-US"/>
        </w:rPr>
      </w:pPr>
      <w:r w:rsidRPr="002949F1">
        <w:rPr>
          <w:rStyle w:val="fontstyle01"/>
          <w:rFonts w:ascii="Times New Roman" w:eastAsiaTheme="majorEastAsia" w:hAnsi="Times New Roman" w:cs="Times New Roman"/>
          <w:spacing w:val="-10"/>
          <w:kern w:val="28"/>
          <w:sz w:val="20"/>
          <w:szCs w:val="20"/>
          <w:vertAlign w:val="superscript"/>
          <w:lang w:val="en-US"/>
        </w:rPr>
        <w:t>2</w:t>
      </w:r>
      <w:r w:rsidRPr="002949F1">
        <w:rPr>
          <w:rStyle w:val="fontstyle01"/>
          <w:rFonts w:ascii="Times New Roman" w:eastAsiaTheme="majorEastAsia" w:hAnsi="Times New Roman" w:cs="Times New Roman"/>
          <w:spacing w:val="-10"/>
          <w:kern w:val="28"/>
          <w:sz w:val="20"/>
          <w:szCs w:val="20"/>
          <w:lang w:val="en-US"/>
        </w:rPr>
        <w:t xml:space="preserve"> </w:t>
      </w:r>
      <w:r w:rsidR="005F04B9" w:rsidRPr="002949F1">
        <w:rPr>
          <w:rStyle w:val="fontstyle01"/>
          <w:rFonts w:ascii="Times New Roman" w:eastAsiaTheme="majorEastAsia" w:hAnsi="Times New Roman" w:cs="Times New Roman"/>
          <w:spacing w:val="-10"/>
          <w:kern w:val="28"/>
          <w:sz w:val="20"/>
          <w:szCs w:val="20"/>
          <w:lang w:val="en-US"/>
        </w:rPr>
        <w:t>Biomedical Engineering, Texas A&amp;</w:t>
      </w:r>
      <w:proofErr w:type="gramStart"/>
      <w:r w:rsidR="005F04B9" w:rsidRPr="002949F1">
        <w:rPr>
          <w:rStyle w:val="fontstyle01"/>
          <w:rFonts w:ascii="Times New Roman" w:eastAsiaTheme="majorEastAsia" w:hAnsi="Times New Roman" w:cs="Times New Roman"/>
          <w:spacing w:val="-10"/>
          <w:kern w:val="28"/>
          <w:sz w:val="20"/>
          <w:szCs w:val="20"/>
          <w:lang w:val="en-US"/>
        </w:rPr>
        <w:t>amp;M</w:t>
      </w:r>
      <w:proofErr w:type="gramEnd"/>
      <w:r w:rsidR="005F04B9" w:rsidRPr="002949F1">
        <w:rPr>
          <w:rStyle w:val="fontstyle01"/>
          <w:rFonts w:ascii="Times New Roman" w:eastAsiaTheme="majorEastAsia" w:hAnsi="Times New Roman" w:cs="Times New Roman"/>
          <w:spacing w:val="-10"/>
          <w:kern w:val="28"/>
          <w:sz w:val="20"/>
          <w:szCs w:val="20"/>
          <w:lang w:val="en-US"/>
        </w:rPr>
        <w:t xml:space="preserve"> U</w:t>
      </w:r>
      <w:proofErr w:type="spellStart"/>
      <w:r w:rsidR="005F04B9">
        <w:rPr>
          <w:rStyle w:val="fontstyle01"/>
          <w:rFonts w:ascii="Times New Roman" w:eastAsiaTheme="majorEastAsia" w:hAnsi="Times New Roman" w:cs="Times New Roman"/>
          <w:spacing w:val="-10"/>
          <w:kern w:val="28"/>
          <w:sz w:val="20"/>
          <w:szCs w:val="20"/>
          <w:lang w:val="en-US"/>
        </w:rPr>
        <w:t>niversity</w:t>
      </w:r>
      <w:proofErr w:type="spellEnd"/>
      <w:r w:rsidR="005F04B9">
        <w:rPr>
          <w:rStyle w:val="fontstyle01"/>
          <w:rFonts w:ascii="Times New Roman" w:eastAsiaTheme="majorEastAsia" w:hAnsi="Times New Roman" w:cs="Times New Roman"/>
          <w:spacing w:val="-10"/>
          <w:kern w:val="28"/>
          <w:sz w:val="20"/>
          <w:szCs w:val="20"/>
          <w:lang w:val="en-US"/>
        </w:rPr>
        <w:t xml:space="preserve"> - College Station - TX, </w:t>
      </w:r>
      <w:r w:rsidRPr="00FF39F4">
        <w:rPr>
          <w:rStyle w:val="fontstyle01"/>
          <w:rFonts w:ascii="Times New Roman" w:eastAsiaTheme="majorEastAsia" w:hAnsi="Times New Roman" w:cs="Times New Roman"/>
          <w:spacing w:val="-10"/>
          <w:kern w:val="28"/>
          <w:sz w:val="20"/>
          <w:szCs w:val="20"/>
          <w:lang w:val="en-US"/>
        </w:rPr>
        <w:t>USA</w:t>
      </w:r>
    </w:p>
    <w:p w14:paraId="700556DD" w14:textId="77777777" w:rsidR="006B7A49" w:rsidRPr="005F04B9" w:rsidRDefault="006B7A49" w:rsidP="006B7A49">
      <w:pPr>
        <w:spacing w:line="276" w:lineRule="auto"/>
        <w:rPr>
          <w:rStyle w:val="fontstyle01"/>
          <w:rFonts w:ascii="Times New Roman" w:eastAsiaTheme="majorEastAsia" w:hAnsi="Times New Roman" w:cs="Times New Roman"/>
          <w:spacing w:val="-10"/>
          <w:kern w:val="28"/>
          <w:sz w:val="20"/>
          <w:szCs w:val="20"/>
        </w:rPr>
      </w:pPr>
      <w:r w:rsidRPr="005F04B9">
        <w:rPr>
          <w:rStyle w:val="fontstyle01"/>
          <w:rFonts w:ascii="Times New Roman" w:eastAsiaTheme="majorEastAsia" w:hAnsi="Times New Roman" w:cs="Times New Roman"/>
          <w:spacing w:val="-10"/>
          <w:kern w:val="28"/>
          <w:sz w:val="20"/>
          <w:szCs w:val="20"/>
        </w:rPr>
        <w:t>*</w:t>
      </w:r>
      <w:proofErr w:type="spellStart"/>
      <w:r w:rsidRPr="005F04B9">
        <w:rPr>
          <w:rStyle w:val="fontstyle01"/>
          <w:rFonts w:ascii="Times New Roman" w:eastAsiaTheme="majorEastAsia" w:hAnsi="Times New Roman" w:cs="Times New Roman"/>
          <w:spacing w:val="-10"/>
          <w:kern w:val="28"/>
          <w:sz w:val="20"/>
          <w:szCs w:val="20"/>
        </w:rPr>
        <w:t>Corresponding</w:t>
      </w:r>
      <w:proofErr w:type="spellEnd"/>
      <w:r w:rsidRPr="005F04B9">
        <w:rPr>
          <w:rStyle w:val="fontstyle01"/>
          <w:rFonts w:ascii="Times New Roman" w:eastAsiaTheme="majorEastAsia" w:hAnsi="Times New Roman" w:cs="Times New Roman"/>
          <w:spacing w:val="-10"/>
          <w:kern w:val="28"/>
          <w:sz w:val="20"/>
          <w:szCs w:val="20"/>
        </w:rPr>
        <w:t xml:space="preserve"> </w:t>
      </w:r>
      <w:proofErr w:type="spellStart"/>
      <w:r w:rsidRPr="005F04B9">
        <w:rPr>
          <w:rStyle w:val="fontstyle01"/>
          <w:rFonts w:ascii="Times New Roman" w:eastAsiaTheme="majorEastAsia" w:hAnsi="Times New Roman" w:cs="Times New Roman"/>
          <w:spacing w:val="-10"/>
          <w:kern w:val="28"/>
          <w:sz w:val="20"/>
          <w:szCs w:val="20"/>
        </w:rPr>
        <w:t>author</w:t>
      </w:r>
      <w:proofErr w:type="spellEnd"/>
      <w:r w:rsidRPr="005F04B9">
        <w:rPr>
          <w:rStyle w:val="fontstyle01"/>
          <w:rFonts w:ascii="Times New Roman" w:eastAsiaTheme="majorEastAsia" w:hAnsi="Times New Roman" w:cs="Times New Roman"/>
          <w:spacing w:val="-10"/>
          <w:kern w:val="28"/>
          <w:sz w:val="20"/>
          <w:szCs w:val="20"/>
        </w:rPr>
        <w:t xml:space="preserve">: Av. Trabalhador São-carlense, 400, São Carlos, São Paulo, </w:t>
      </w:r>
      <w:proofErr w:type="spellStart"/>
      <w:r w:rsidRPr="005F04B9">
        <w:rPr>
          <w:rStyle w:val="fontstyle01"/>
          <w:rFonts w:ascii="Times New Roman" w:eastAsiaTheme="majorEastAsia" w:hAnsi="Times New Roman" w:cs="Times New Roman"/>
          <w:spacing w:val="-10"/>
          <w:kern w:val="28"/>
          <w:sz w:val="20"/>
          <w:szCs w:val="20"/>
        </w:rPr>
        <w:t>Brazil</w:t>
      </w:r>
      <w:proofErr w:type="spellEnd"/>
      <w:r w:rsidRPr="005F04B9">
        <w:rPr>
          <w:rStyle w:val="fontstyle01"/>
          <w:rFonts w:ascii="Times New Roman" w:eastAsiaTheme="majorEastAsia" w:hAnsi="Times New Roman" w:cs="Times New Roman"/>
          <w:spacing w:val="-10"/>
          <w:kern w:val="28"/>
          <w:sz w:val="20"/>
          <w:szCs w:val="20"/>
        </w:rPr>
        <w:t>,</w:t>
      </w:r>
    </w:p>
    <w:p w14:paraId="17E25961" w14:textId="77777777" w:rsidR="006B7A49" w:rsidRPr="00FF39F4" w:rsidRDefault="006B7A49" w:rsidP="006B7A49">
      <w:pPr>
        <w:spacing w:line="276" w:lineRule="auto"/>
        <w:rPr>
          <w:rStyle w:val="fontstyle01"/>
          <w:rFonts w:ascii="Times New Roman" w:eastAsiaTheme="majorEastAsia" w:hAnsi="Times New Roman" w:cs="Times New Roman"/>
          <w:spacing w:val="-10"/>
          <w:kern w:val="28"/>
          <w:sz w:val="20"/>
          <w:szCs w:val="20"/>
          <w:lang w:val="en-US"/>
        </w:rPr>
      </w:pPr>
      <w:r w:rsidRPr="00FF39F4">
        <w:rPr>
          <w:rStyle w:val="fontstyle01"/>
          <w:rFonts w:ascii="Times New Roman" w:eastAsiaTheme="majorEastAsia" w:hAnsi="Times New Roman" w:cs="Times New Roman"/>
          <w:spacing w:val="-10"/>
          <w:kern w:val="28"/>
          <w:sz w:val="20"/>
          <w:szCs w:val="20"/>
          <w:lang w:val="en-US"/>
        </w:rPr>
        <w:t xml:space="preserve">Postal code: 13566-590, +55 (16) 3373-9810, Fax: 3373-9811. Email: </w:t>
      </w:r>
      <w:hyperlink r:id="rId6" w:history="1">
        <w:r w:rsidRPr="00FF39F4">
          <w:rPr>
            <w:rStyle w:val="Hyperlink"/>
            <w:rFonts w:ascii="Times New Roman" w:eastAsiaTheme="majorEastAsia" w:hAnsi="Times New Roman" w:cs="Times New Roman"/>
            <w:spacing w:val="-10"/>
            <w:kern w:val="28"/>
            <w:sz w:val="20"/>
            <w:szCs w:val="20"/>
            <w:lang w:val="en-US"/>
          </w:rPr>
          <w:t>jennifer.soares@usp.br</w:t>
        </w:r>
      </w:hyperlink>
    </w:p>
    <w:p w14:paraId="618BAE7C" w14:textId="77777777" w:rsidR="006B7A49" w:rsidRPr="0069088C" w:rsidRDefault="006B7A49" w:rsidP="006B7A49">
      <w:pPr>
        <w:spacing w:line="276" w:lineRule="auto"/>
        <w:rPr>
          <w:rStyle w:val="fontstyle01"/>
          <w:rFonts w:ascii="Times New Roman" w:eastAsiaTheme="majorEastAsia" w:hAnsi="Times New Roman" w:cs="Times New Roman"/>
          <w:spacing w:val="-10"/>
          <w:kern w:val="28"/>
          <w:lang w:val="en-US"/>
        </w:rPr>
      </w:pPr>
    </w:p>
    <w:p w14:paraId="07E960E3" w14:textId="7E1C1D74" w:rsidR="00B82312" w:rsidRPr="0069088C" w:rsidRDefault="006B7A49" w:rsidP="006B7A49">
      <w:pPr>
        <w:jc w:val="center"/>
        <w:rPr>
          <w:rFonts w:ascii="Times New Roman" w:hAnsi="Times New Roman" w:cs="Times New Roman"/>
          <w:lang w:val="en-US"/>
        </w:rPr>
      </w:pPr>
      <w:r w:rsidRPr="0069088C">
        <w:rPr>
          <w:rFonts w:ascii="Times New Roman" w:hAnsi="Times New Roman" w:cs="Times New Roman"/>
          <w:lang w:val="en-US"/>
        </w:rPr>
        <w:t>ABSTRACT</w:t>
      </w:r>
    </w:p>
    <w:p w14:paraId="424FCCED" w14:textId="496E9578" w:rsidR="006B7A49" w:rsidRPr="0069088C" w:rsidRDefault="00C31FCD" w:rsidP="006B7A49">
      <w:pPr>
        <w:rPr>
          <w:rFonts w:ascii="Times New Roman" w:hAnsi="Times New Roman" w:cs="Times New Roman"/>
          <w:lang w:val="en-US"/>
        </w:rPr>
      </w:pPr>
      <w:r w:rsidRPr="0069088C">
        <w:rPr>
          <w:rFonts w:ascii="Times New Roman" w:hAnsi="Times New Roman" w:cs="Times New Roman"/>
          <w:lang w:val="en-US"/>
        </w:rPr>
        <w:t>The</w:t>
      </w:r>
      <w:r w:rsidR="006B7A49" w:rsidRPr="0069088C">
        <w:rPr>
          <w:rFonts w:ascii="Times New Roman" w:hAnsi="Times New Roman" w:cs="Times New Roman"/>
          <w:lang w:val="en-US"/>
        </w:rPr>
        <w:t xml:space="preserve"> antibiotic failure in resistant bacterial infections is one of the major global health challenges in our present civilization. Alternatives that destroy the </w:t>
      </w:r>
      <w:r w:rsidR="001E15B2" w:rsidRPr="0069088C">
        <w:rPr>
          <w:rFonts w:ascii="Times New Roman" w:hAnsi="Times New Roman" w:cs="Times New Roman"/>
          <w:lang w:val="en-US"/>
        </w:rPr>
        <w:t xml:space="preserve">bacterial resistance may become </w:t>
      </w:r>
      <w:r w:rsidR="006B7A49" w:rsidRPr="0069088C">
        <w:rPr>
          <w:rFonts w:ascii="Times New Roman" w:hAnsi="Times New Roman" w:cs="Times New Roman"/>
          <w:lang w:val="en-US"/>
        </w:rPr>
        <w:t xml:space="preserve">susceptive to regular antibiotics </w:t>
      </w:r>
      <w:r w:rsidR="00894004" w:rsidRPr="0069088C">
        <w:rPr>
          <w:rFonts w:ascii="Times New Roman" w:hAnsi="Times New Roman" w:cs="Times New Roman"/>
          <w:lang w:val="en-US"/>
        </w:rPr>
        <w:t>will be</w:t>
      </w:r>
      <w:r w:rsidR="006B7A49" w:rsidRPr="0069088C">
        <w:rPr>
          <w:rFonts w:ascii="Times New Roman" w:hAnsi="Times New Roman" w:cs="Times New Roman"/>
          <w:lang w:val="en-US"/>
        </w:rPr>
        <w:t xml:space="preserve"> the solution for the problem. </w:t>
      </w:r>
      <w:r w:rsidR="00D67033" w:rsidRPr="0069088C">
        <w:rPr>
          <w:rFonts w:ascii="Times New Roman" w:hAnsi="Times New Roman" w:cs="Times New Roman"/>
          <w:lang w:val="en-US"/>
        </w:rPr>
        <w:t xml:space="preserve">For that, combined techniques can be the solution.  However, the combination therapies such as antibiotic therapy and photodynamic inactivation is not trivial due to the different parameters, which can modulate the synergistic </w:t>
      </w:r>
      <w:r w:rsidR="00AE01D6" w:rsidRPr="0069088C">
        <w:rPr>
          <w:rFonts w:ascii="Times New Roman" w:hAnsi="Times New Roman" w:cs="Times New Roman"/>
          <w:lang w:val="en-US"/>
        </w:rPr>
        <w:t>response</w:t>
      </w:r>
      <w:r w:rsidR="00D67033" w:rsidRPr="0069088C">
        <w:rPr>
          <w:rFonts w:ascii="Times New Roman" w:hAnsi="Times New Roman" w:cs="Times New Roman"/>
          <w:lang w:val="en-US"/>
        </w:rPr>
        <w:t xml:space="preserve">. </w:t>
      </w:r>
      <w:r w:rsidR="006B7A49" w:rsidRPr="0069088C">
        <w:rPr>
          <w:rFonts w:ascii="Times New Roman" w:hAnsi="Times New Roman" w:cs="Times New Roman"/>
          <w:lang w:val="en-US"/>
        </w:rPr>
        <w:t>The</w:t>
      </w:r>
      <w:r w:rsidR="00D67033" w:rsidRPr="0069088C">
        <w:rPr>
          <w:rFonts w:ascii="Times New Roman" w:hAnsi="Times New Roman" w:cs="Times New Roman"/>
          <w:lang w:val="en-US"/>
        </w:rPr>
        <w:t xml:space="preserve"> aim of this study is to</w:t>
      </w:r>
      <w:r w:rsidR="006B7A49" w:rsidRPr="0069088C">
        <w:rPr>
          <w:rFonts w:ascii="Times New Roman" w:hAnsi="Times New Roman" w:cs="Times New Roman"/>
          <w:lang w:val="en-US"/>
        </w:rPr>
        <w:t xml:space="preserve"> </w:t>
      </w:r>
      <w:r w:rsidR="005B7090" w:rsidRPr="0069088C">
        <w:rPr>
          <w:rFonts w:ascii="Times New Roman" w:hAnsi="Times New Roman" w:cs="Times New Roman"/>
          <w:lang w:val="en-US"/>
        </w:rPr>
        <w:t>potentialize the</w:t>
      </w:r>
      <w:r w:rsidR="006B7A49" w:rsidRPr="0069088C">
        <w:rPr>
          <w:rFonts w:ascii="Times New Roman" w:hAnsi="Times New Roman" w:cs="Times New Roman"/>
          <w:lang w:val="en-US"/>
        </w:rPr>
        <w:t xml:space="preserve"> antimicrobial action of antibiotics in sensitive and resistant strains</w:t>
      </w:r>
      <w:r w:rsidR="00D67033" w:rsidRPr="0069088C">
        <w:rPr>
          <w:rFonts w:ascii="Times New Roman" w:hAnsi="Times New Roman" w:cs="Times New Roman"/>
          <w:lang w:val="en-US"/>
        </w:rPr>
        <w:t xml:space="preserve"> in presence of reactive oxygen species in the microorganism environment</w:t>
      </w:r>
      <w:r w:rsidR="006B7A49" w:rsidRPr="0069088C">
        <w:rPr>
          <w:rFonts w:ascii="Times New Roman" w:hAnsi="Times New Roman" w:cs="Times New Roman"/>
          <w:lang w:val="en-US"/>
        </w:rPr>
        <w:t>.</w:t>
      </w:r>
      <w:r w:rsidR="007E1315" w:rsidRPr="0069088C">
        <w:rPr>
          <w:rFonts w:ascii="Times New Roman" w:hAnsi="Times New Roman" w:cs="Times New Roman"/>
          <w:lang w:val="en-US"/>
        </w:rPr>
        <w:t xml:space="preserve"> </w:t>
      </w:r>
      <w:r w:rsidR="00D6467B" w:rsidRPr="0069088C">
        <w:rPr>
          <w:rFonts w:ascii="Times New Roman" w:hAnsi="Times New Roman" w:cs="Times New Roman"/>
          <w:lang w:val="en-US"/>
        </w:rPr>
        <w:t>Subdose photodynamic inactivation protocols combined with antibiotics were evaluated, varying the application sequence and time intervals.</w:t>
      </w:r>
      <w:r w:rsidR="005B7090" w:rsidRPr="0069088C">
        <w:rPr>
          <w:rFonts w:ascii="Times New Roman" w:hAnsi="Times New Roman" w:cs="Times New Roman"/>
          <w:lang w:val="en-US"/>
        </w:rPr>
        <w:t xml:space="preserve"> </w:t>
      </w:r>
      <w:r w:rsidR="006B7A49" w:rsidRPr="0069088C">
        <w:rPr>
          <w:rFonts w:ascii="Times New Roman" w:hAnsi="Times New Roman" w:cs="Times New Roman"/>
          <w:lang w:val="en-US"/>
        </w:rPr>
        <w:t xml:space="preserve">We </w:t>
      </w:r>
      <w:r w:rsidR="00214534" w:rsidRPr="0069088C">
        <w:rPr>
          <w:rFonts w:ascii="Times New Roman" w:hAnsi="Times New Roman" w:cs="Times New Roman"/>
          <w:lang w:val="en-US"/>
        </w:rPr>
        <w:t>studied</w:t>
      </w:r>
      <w:r w:rsidR="006B7A49" w:rsidRPr="0069088C">
        <w:rPr>
          <w:rFonts w:ascii="Times New Roman" w:hAnsi="Times New Roman" w:cs="Times New Roman"/>
          <w:lang w:val="en-US"/>
        </w:rPr>
        <w:t xml:space="preserve"> the dynamics of interaction between </w:t>
      </w:r>
      <w:r w:rsidR="006B7A49" w:rsidRPr="0069088C">
        <w:rPr>
          <w:rFonts w:ascii="Times New Roman" w:hAnsi="Times New Roman" w:cs="Times New Roman"/>
          <w:i/>
          <w:lang w:val="en-US"/>
        </w:rPr>
        <w:t>Staphylococcus aureus</w:t>
      </w:r>
      <w:r w:rsidR="006B7A49" w:rsidRPr="0069088C">
        <w:rPr>
          <w:rFonts w:ascii="Times New Roman" w:hAnsi="Times New Roman" w:cs="Times New Roman"/>
          <w:lang w:val="en-US"/>
        </w:rPr>
        <w:t xml:space="preserve"> </w:t>
      </w:r>
      <w:r w:rsidR="00214534" w:rsidRPr="0069088C">
        <w:rPr>
          <w:rFonts w:ascii="Times New Roman" w:hAnsi="Times New Roman" w:cs="Times New Roman"/>
          <w:lang w:val="en-US"/>
        </w:rPr>
        <w:t>and</w:t>
      </w:r>
      <w:r w:rsidR="006B7A49" w:rsidRPr="0069088C">
        <w:rPr>
          <w:rFonts w:ascii="Times New Roman" w:hAnsi="Times New Roman" w:cs="Times New Roman"/>
          <w:lang w:val="en-US"/>
        </w:rPr>
        <w:t xml:space="preserve"> </w:t>
      </w:r>
      <w:r w:rsidR="00214534" w:rsidRPr="0069088C">
        <w:rPr>
          <w:rFonts w:ascii="Times New Roman" w:hAnsi="Times New Roman" w:cs="Times New Roman"/>
          <w:lang w:val="en-US"/>
        </w:rPr>
        <w:t xml:space="preserve">the </w:t>
      </w:r>
      <w:r w:rsidR="006B7A49" w:rsidRPr="0069088C">
        <w:rPr>
          <w:rFonts w:ascii="Times New Roman" w:hAnsi="Times New Roman" w:cs="Times New Roman"/>
          <w:lang w:val="en-US"/>
        </w:rPr>
        <w:t xml:space="preserve">curcumin photosensitizer and </w:t>
      </w:r>
      <w:r w:rsidR="00214534" w:rsidRPr="0069088C">
        <w:rPr>
          <w:rFonts w:ascii="Times New Roman" w:hAnsi="Times New Roman" w:cs="Times New Roman"/>
          <w:lang w:val="en-US"/>
        </w:rPr>
        <w:t xml:space="preserve">the </w:t>
      </w:r>
      <w:r w:rsidR="006B7A49" w:rsidRPr="0069088C">
        <w:rPr>
          <w:rFonts w:ascii="Times New Roman" w:hAnsi="Times New Roman" w:cs="Times New Roman"/>
          <w:lang w:val="en-US"/>
        </w:rPr>
        <w:t xml:space="preserve">antibiotics amoxicillin, </w:t>
      </w:r>
      <w:r w:rsidR="00D5734D" w:rsidRPr="0069088C">
        <w:rPr>
          <w:rFonts w:ascii="Times New Roman" w:hAnsi="Times New Roman" w:cs="Times New Roman"/>
          <w:lang w:val="en-US"/>
        </w:rPr>
        <w:t>erythromycin,</w:t>
      </w:r>
      <w:r w:rsidR="006B7A49" w:rsidRPr="0069088C">
        <w:rPr>
          <w:rFonts w:ascii="Times New Roman" w:hAnsi="Times New Roman" w:cs="Times New Roman"/>
          <w:lang w:val="en-US"/>
        </w:rPr>
        <w:t xml:space="preserve"> and gentamicin</w:t>
      </w:r>
      <w:r w:rsidR="00D5734D" w:rsidRPr="0069088C">
        <w:rPr>
          <w:rFonts w:ascii="Times New Roman" w:hAnsi="Times New Roman" w:cs="Times New Roman"/>
          <w:lang w:val="en-US"/>
        </w:rPr>
        <w:t xml:space="preserve">. </w:t>
      </w:r>
      <w:r w:rsidR="006B7A49" w:rsidRPr="0069088C">
        <w:rPr>
          <w:rFonts w:ascii="Times New Roman" w:hAnsi="Times New Roman" w:cs="Times New Roman"/>
          <w:lang w:val="en-US"/>
        </w:rPr>
        <w:t xml:space="preserve">As a result of the antibiotic </w:t>
      </w:r>
      <w:r w:rsidR="005B7090" w:rsidRPr="0069088C">
        <w:rPr>
          <w:rFonts w:ascii="Times New Roman" w:hAnsi="Times New Roman" w:cs="Times New Roman"/>
          <w:lang w:val="en-US"/>
        </w:rPr>
        <w:t xml:space="preserve">potentializing </w:t>
      </w:r>
      <w:r w:rsidR="00F0462D" w:rsidRPr="0069088C">
        <w:rPr>
          <w:rFonts w:ascii="Times New Roman" w:hAnsi="Times New Roman" w:cs="Times New Roman"/>
          <w:lang w:val="en-US"/>
        </w:rPr>
        <w:t>effect by</w:t>
      </w:r>
      <w:r w:rsidR="006B7A49" w:rsidRPr="0069088C">
        <w:rPr>
          <w:rFonts w:ascii="Times New Roman" w:hAnsi="Times New Roman" w:cs="Times New Roman"/>
          <w:lang w:val="en-US"/>
        </w:rPr>
        <w:t xml:space="preserve"> photodynamic inactivation, the combined groups present bacterial reduction superior to the monotherapies.</w:t>
      </w:r>
      <w:r w:rsidR="00D5734D" w:rsidRPr="0069088C">
        <w:rPr>
          <w:rFonts w:ascii="Times New Roman" w:hAnsi="Times New Roman" w:cs="Times New Roman"/>
          <w:lang w:val="en-US"/>
        </w:rPr>
        <w:t xml:space="preserve"> In addition, the interaction between therapies was dependent on the sequential order of application of them, affects the metabolic activity and binding of cell surface bacterial biomolecules. </w:t>
      </w:r>
      <w:r w:rsidR="006B7A49" w:rsidRPr="0069088C">
        <w:rPr>
          <w:rFonts w:ascii="Times New Roman" w:hAnsi="Times New Roman" w:cs="Times New Roman"/>
          <w:lang w:val="en-US"/>
        </w:rPr>
        <w:t xml:space="preserve"> This </w:t>
      </w:r>
      <w:r w:rsidR="00FF03A6" w:rsidRPr="0069088C">
        <w:rPr>
          <w:rFonts w:ascii="Times New Roman" w:hAnsi="Times New Roman" w:cs="Times New Roman"/>
          <w:lang w:val="en-US"/>
        </w:rPr>
        <w:t>evidence</w:t>
      </w:r>
      <w:r w:rsidR="006B7A49" w:rsidRPr="0069088C">
        <w:rPr>
          <w:rFonts w:ascii="Times New Roman" w:hAnsi="Times New Roman" w:cs="Times New Roman"/>
          <w:lang w:val="en-US"/>
        </w:rPr>
        <w:t xml:space="preserve"> highlights the ability of combination therapies as a strategy to </w:t>
      </w:r>
      <w:r w:rsidR="00F0462D" w:rsidRPr="0069088C">
        <w:rPr>
          <w:rFonts w:ascii="Times New Roman" w:hAnsi="Times New Roman" w:cs="Times New Roman"/>
          <w:lang w:val="en-US"/>
        </w:rPr>
        <w:t xml:space="preserve">the </w:t>
      </w:r>
      <w:r w:rsidR="00207689" w:rsidRPr="0069088C">
        <w:rPr>
          <w:rFonts w:ascii="Times New Roman" w:hAnsi="Times New Roman" w:cs="Times New Roman"/>
          <w:lang w:val="en-US"/>
        </w:rPr>
        <w:t>fight</w:t>
      </w:r>
      <w:r w:rsidR="00F0462D" w:rsidRPr="0069088C">
        <w:rPr>
          <w:rFonts w:ascii="Times New Roman" w:hAnsi="Times New Roman" w:cs="Times New Roman"/>
          <w:lang w:val="en-US"/>
        </w:rPr>
        <w:t xml:space="preserve"> of</w:t>
      </w:r>
      <w:r w:rsidR="006B7A49" w:rsidRPr="0069088C">
        <w:rPr>
          <w:rFonts w:ascii="Times New Roman" w:hAnsi="Times New Roman" w:cs="Times New Roman"/>
          <w:lang w:val="en-US"/>
        </w:rPr>
        <w:t xml:space="preserve"> antibiotic-resistant bacterial infections.</w:t>
      </w:r>
    </w:p>
    <w:p w14:paraId="7647E8F2" w14:textId="6164006F" w:rsidR="00366C1C" w:rsidRPr="0069088C" w:rsidRDefault="00AE01D6" w:rsidP="006B7A49">
      <w:pPr>
        <w:rPr>
          <w:rFonts w:ascii="Times New Roman" w:hAnsi="Times New Roman" w:cs="Times New Roman"/>
          <w:lang w:val="en-US"/>
        </w:rPr>
      </w:pPr>
      <w:r w:rsidRPr="0069088C">
        <w:rPr>
          <w:rFonts w:ascii="Times New Roman" w:hAnsi="Times New Roman" w:cs="Times New Roman"/>
          <w:lang w:val="en-US"/>
        </w:rPr>
        <w:t>Keywords:</w:t>
      </w:r>
    </w:p>
    <w:p w14:paraId="246B7D44" w14:textId="4AB1641B" w:rsidR="00F0462D" w:rsidRPr="0069088C" w:rsidRDefault="00F0462D" w:rsidP="006B7A49">
      <w:pPr>
        <w:rPr>
          <w:rFonts w:ascii="Times New Roman" w:hAnsi="Times New Roman" w:cs="Times New Roman"/>
          <w:lang w:val="en-US"/>
        </w:rPr>
      </w:pPr>
    </w:p>
    <w:p w14:paraId="125A47D0" w14:textId="5B4B07F8" w:rsidR="00F0462D" w:rsidRPr="0069088C" w:rsidRDefault="00F0462D" w:rsidP="00C6291C">
      <w:pPr>
        <w:pStyle w:val="PargrafodaLista"/>
        <w:numPr>
          <w:ilvl w:val="0"/>
          <w:numId w:val="1"/>
        </w:numPr>
        <w:rPr>
          <w:rFonts w:ascii="Times New Roman" w:hAnsi="Times New Roman" w:cs="Times New Roman"/>
          <w:b/>
          <w:bCs/>
          <w:lang w:val="en-US"/>
        </w:rPr>
      </w:pPr>
      <w:r w:rsidRPr="0069088C">
        <w:rPr>
          <w:rFonts w:ascii="Times New Roman" w:hAnsi="Times New Roman" w:cs="Times New Roman"/>
          <w:b/>
          <w:bCs/>
          <w:lang w:val="en-US"/>
        </w:rPr>
        <w:t>I</w:t>
      </w:r>
      <w:r w:rsidR="00C6291C" w:rsidRPr="0069088C">
        <w:rPr>
          <w:rFonts w:ascii="Times New Roman" w:hAnsi="Times New Roman" w:cs="Times New Roman"/>
          <w:b/>
          <w:bCs/>
          <w:lang w:val="en-US"/>
        </w:rPr>
        <w:t>NTRODUCTION</w:t>
      </w:r>
    </w:p>
    <w:p w14:paraId="70069D84" w14:textId="34361AC5" w:rsidR="0018432E" w:rsidRPr="0069088C" w:rsidRDefault="00D6467B" w:rsidP="00855DDB">
      <w:pPr>
        <w:rPr>
          <w:rFonts w:ascii="Times New Roman" w:hAnsi="Times New Roman" w:cs="Times New Roman"/>
          <w:lang w:val="en-US"/>
        </w:rPr>
      </w:pPr>
      <w:r w:rsidRPr="0069088C">
        <w:rPr>
          <w:rFonts w:ascii="Times New Roman" w:hAnsi="Times New Roman" w:cs="Times New Roman"/>
          <w:lang w:val="en-US"/>
        </w:rPr>
        <w:lastRenderedPageBreak/>
        <w:t>According to the World Health Organization (WHO) bacterial infections affect hundreds of millions of people worldwide every year, with some cases resulting from outbreaks and healthcare-associated infections (HAIs)</w:t>
      </w:r>
      <w:r w:rsidR="00F0462D" w:rsidRPr="0069088C">
        <w:rPr>
          <w:rFonts w:ascii="Times New Roman" w:hAnsi="Times New Roman" w:cs="Times New Roman"/>
          <w:lang w:val="en-US"/>
        </w:rPr>
        <w:t xml:space="preserve">. </w:t>
      </w:r>
      <w:r w:rsidR="00F0462D" w:rsidRPr="0069088C">
        <w:rPr>
          <w:rFonts w:ascii="Times New Roman" w:hAnsi="Times New Roman" w:cs="Times New Roman"/>
          <w:i/>
          <w:lang w:val="en-US"/>
        </w:rPr>
        <w:t xml:space="preserve">Staphylococcus aureus </w:t>
      </w:r>
      <w:r w:rsidR="00F0462D" w:rsidRPr="0069088C">
        <w:rPr>
          <w:rFonts w:ascii="Times New Roman" w:hAnsi="Times New Roman" w:cs="Times New Roman"/>
          <w:lang w:val="en-US"/>
        </w:rPr>
        <w:t xml:space="preserve">is one of the main opportunistic </w:t>
      </w:r>
      <w:r w:rsidR="00D776AD" w:rsidRPr="0069088C">
        <w:rPr>
          <w:rFonts w:ascii="Times New Roman" w:hAnsi="Times New Roman" w:cs="Times New Roman"/>
          <w:lang w:val="en-US"/>
        </w:rPr>
        <w:t xml:space="preserve">human </w:t>
      </w:r>
      <w:r w:rsidR="00F0462D" w:rsidRPr="0069088C">
        <w:rPr>
          <w:rFonts w:ascii="Times New Roman" w:hAnsi="Times New Roman" w:cs="Times New Roman"/>
          <w:lang w:val="en-US"/>
        </w:rPr>
        <w:t xml:space="preserve">pathogens </w:t>
      </w:r>
      <w:r w:rsidR="00D75987" w:rsidRPr="0069088C">
        <w:rPr>
          <w:rFonts w:ascii="Times New Roman" w:hAnsi="Times New Roman" w:cs="Times New Roman"/>
          <w:lang w:val="en-US"/>
        </w:rPr>
        <w:t>causing infections of skin, mucous membranes, endocarditis, pneumonia and, bacteremia</w:t>
      </w:r>
      <w:r w:rsidR="00D75987" w:rsidRPr="0069088C" w:rsidDel="00D75987">
        <w:rPr>
          <w:rFonts w:ascii="Times New Roman" w:hAnsi="Times New Roman" w:cs="Times New Roman"/>
          <w:lang w:val="en-US"/>
        </w:rPr>
        <w:t xml:space="preserve"> </w:t>
      </w:r>
      <w:r w:rsidR="002E7116" w:rsidRPr="0069088C">
        <w:rPr>
          <w:rFonts w:ascii="Times New Roman" w:hAnsi="Times New Roman" w:cs="Times New Roman"/>
          <w:lang w:val="en-US"/>
        </w:rPr>
        <w:t>in</w:t>
      </w:r>
      <w:r w:rsidR="007E1315" w:rsidRPr="0069088C">
        <w:rPr>
          <w:rFonts w:ascii="Times New Roman" w:hAnsi="Times New Roman" w:cs="Times New Roman"/>
          <w:lang w:val="en-US"/>
        </w:rPr>
        <w:t xml:space="preserve"> adverse conditions</w:t>
      </w:r>
      <w:r w:rsidR="00F0462D" w:rsidRPr="0069088C">
        <w:rPr>
          <w:rFonts w:ascii="Times New Roman" w:hAnsi="Times New Roman" w:cs="Times New Roman"/>
          <w:lang w:val="en-US"/>
        </w:rPr>
        <w:t xml:space="preserve"> </w:t>
      </w:r>
      <w:r w:rsidR="002E7116" w:rsidRPr="0069088C">
        <w:rPr>
          <w:rFonts w:ascii="Times New Roman" w:hAnsi="Times New Roman" w:cs="Times New Roman"/>
          <w:lang w:val="en-US"/>
        </w:rPr>
        <w:t xml:space="preserve">and </w:t>
      </w:r>
      <w:r w:rsidR="00F0462D" w:rsidRPr="0069088C">
        <w:rPr>
          <w:rFonts w:ascii="Times New Roman" w:hAnsi="Times New Roman" w:cs="Times New Roman"/>
          <w:lang w:val="en-US"/>
        </w:rPr>
        <w:t>sometimes</w:t>
      </w:r>
      <w:r w:rsidR="00D776AD" w:rsidRPr="0069088C">
        <w:rPr>
          <w:rFonts w:ascii="Times New Roman" w:hAnsi="Times New Roman" w:cs="Times New Roman"/>
          <w:lang w:val="en-US"/>
        </w:rPr>
        <w:t xml:space="preserve"> </w:t>
      </w:r>
      <w:r w:rsidR="002E7116" w:rsidRPr="0069088C">
        <w:rPr>
          <w:rFonts w:ascii="Times New Roman" w:eastAsia="Times New Roman" w:hAnsi="Times New Roman" w:cs="Times New Roman"/>
          <w:color w:val="242424"/>
          <w:shd w:val="clear" w:color="auto" w:fill="FFFEEF"/>
          <w:lang w:val="en-US"/>
        </w:rPr>
        <w:t>resulting in fatal conditions</w:t>
      </w:r>
      <w:r w:rsidR="00F0462D" w:rsidRPr="0069088C">
        <w:rPr>
          <w:rFonts w:ascii="Times New Roman" w:hAnsi="Times New Roman" w:cs="Times New Roman"/>
          <w:lang w:val="en-US"/>
        </w:rPr>
        <w:t>.</w:t>
      </w:r>
      <w:r w:rsidR="007E1315" w:rsidRPr="0069088C">
        <w:rPr>
          <w:rFonts w:ascii="Times New Roman" w:hAnsi="Times New Roman" w:cs="Times New Roman"/>
          <w:lang w:val="en-US"/>
        </w:rPr>
        <w:t xml:space="preserve"> </w:t>
      </w:r>
      <w:r w:rsidR="007E1315" w:rsidRPr="0069088C">
        <w:rPr>
          <w:rFonts w:ascii="Times New Roman" w:hAnsi="Times New Roman" w:cs="Times New Roman"/>
          <w:lang w:val="en-US"/>
        </w:rPr>
        <w:fldChar w:fldCharType="begin" w:fldLock="1"/>
      </w:r>
      <w:r w:rsidR="007E1315" w:rsidRPr="0069088C">
        <w:rPr>
          <w:rFonts w:ascii="Times New Roman" w:hAnsi="Times New Roman" w:cs="Times New Roman"/>
          <w:lang w:val="en-US"/>
        </w:rPr>
        <w:instrText>ADDIN CSL_CITATION {"citationItems":[{"id":"ITEM-1","itemData":{"DOI":"10.1038/s41564-019-0627-y","ISSN":"20585276","PMID":"31819212","abstract":"Staphylococcus aureus is a major human pathogen that causes an array of infections ranging from minor skin infections to more serious infections, including osteomyelitis, endocarditis, necrotizing pneumonia and sepsis1. These more serious infections usually arise from an initial bloodstream infection and are frequently recalcitrant to antibiotic treatment1. Phagocytosis by macrophages and neutrophils is the primary mechanism through which S. aureus infection is controlled by the immune system2. Macrophages have been shown to be a major reservoir of S. aureus in vivo3, but the role of macrophages in the induction of antibiotic tolerance has not been explored. Here, we show that macrophages not only fail to efficiently kill phagocytosed S. aureus, but also induce tolerance to multiple antibiotics. Reactive oxygen species generated by respiratory burst attack iron–sulfur cluster-containing proteins, including TCA-cycle enzymes, result in decreased respiration, lower ATP and increased antibiotic tolerance. We further show that respiratory burst induces antibiotic tolerance in the spleen during a murine systemic infection. These results suggest that a major component of the innate immune response is antagonistic to the bactericidal activities of antibiotics.","author":[{"dropping-particle":"","family":"Rowe","given":"Sarah E.","non-dropping-particle":"","parse-names":false,"suffix":""},{"dropping-particle":"","family":"Wagner","given":"Nikki J.","non-dropping-particle":"","parse-names":false,"suffix":""},{"dropping-particle":"","family":"Li","given":"Lupeng","non-dropping-particle":"","parse-names":false,"suffix":""},{"dropping-particle":"","family":"Beam","given":"Jenna E.","non-dropping-particle":"","parse-names":false,"suffix":""},{"dropping-particle":"","family":"Wilkinson","given":"Alec D.","non-dropping-particle":"","parse-names":false,"suffix":""},{"dropping-particle":"","family":"Radlinski","given":"Lauren C.","non-dropping-particle":"","parse-names":false,"suffix":""},{"dropping-particle":"","family":"Zhang","given":"Qing","non-dropping-particle":"","parse-names":false,"suffix":""},{"dropping-particle":"","family":"Miao","given":"Edward A.","non-dropping-particle":"","parse-names":false,"suffix":""},{"dropping-particle":"","family":"Conlon","given":"Brian P.","non-dropping-particle":"","parse-names":false,"suffix":""}],"container-title":"Nature Microbiology","id":"ITEM-1","issue":"2","issued":{"date-parts":[["2020"]]},"page":"282-290","publisher":"Springer US","title":"Reactive oxygen species induce antibiotic tolerance during systemic Staphylococcus aureus infection","type":"article-journal","volume":"5"},"uris":["http://www.mendeley.com/documents/?uuid=a78ab0e4-4fbb-4835-b195-3f887ade57b2"]}],"mendeley":{"formattedCitation":"&lt;sup&gt;1&lt;/sup&gt;","plainTextFormattedCitation":"1","previouslyFormattedCitation":"&lt;sup&gt;1&lt;/sup&gt;"},"properties":{"noteIndex":0},"schema":"https://github.com/citation-style-language/schema/raw/master/csl-citation.json"}</w:instrText>
      </w:r>
      <w:r w:rsidR="007E1315" w:rsidRPr="0069088C">
        <w:rPr>
          <w:rFonts w:ascii="Times New Roman" w:hAnsi="Times New Roman" w:cs="Times New Roman"/>
          <w:lang w:val="en-US"/>
        </w:rPr>
        <w:fldChar w:fldCharType="separate"/>
      </w:r>
      <w:r w:rsidR="007E1315" w:rsidRPr="0069088C">
        <w:rPr>
          <w:rFonts w:ascii="Times New Roman" w:hAnsi="Times New Roman" w:cs="Times New Roman"/>
          <w:noProof/>
          <w:vertAlign w:val="superscript"/>
          <w:lang w:val="en-US"/>
        </w:rPr>
        <w:t>1</w:t>
      </w:r>
      <w:r w:rsidR="007E1315" w:rsidRPr="0069088C">
        <w:rPr>
          <w:rFonts w:ascii="Times New Roman" w:hAnsi="Times New Roman" w:cs="Times New Roman"/>
          <w:lang w:val="en-US"/>
        </w:rPr>
        <w:fldChar w:fldCharType="end"/>
      </w:r>
      <w:r w:rsidR="00F0462D" w:rsidRPr="0069088C">
        <w:rPr>
          <w:rFonts w:ascii="Times New Roman" w:hAnsi="Times New Roman" w:cs="Times New Roman"/>
          <w:lang w:val="en-US"/>
        </w:rPr>
        <w:t xml:space="preserve"> Several resistant</w:t>
      </w:r>
      <w:r w:rsidR="0077185F" w:rsidRPr="0069088C">
        <w:rPr>
          <w:rFonts w:ascii="Times New Roman" w:hAnsi="Times New Roman" w:cs="Times New Roman"/>
          <w:lang w:val="en-US"/>
        </w:rPr>
        <w:t>,</w:t>
      </w:r>
      <w:r w:rsidR="00F0462D" w:rsidRPr="0069088C">
        <w:rPr>
          <w:rFonts w:ascii="Times New Roman" w:hAnsi="Times New Roman" w:cs="Times New Roman"/>
          <w:lang w:val="en-US"/>
        </w:rPr>
        <w:t xml:space="preserve"> tolerant</w:t>
      </w:r>
      <w:r w:rsidR="0077185F" w:rsidRPr="0069088C">
        <w:rPr>
          <w:rFonts w:ascii="Times New Roman" w:hAnsi="Times New Roman" w:cs="Times New Roman"/>
          <w:lang w:val="en-US"/>
        </w:rPr>
        <w:t>, and persistent</w:t>
      </w:r>
      <w:r w:rsidR="00F0462D" w:rsidRPr="0069088C">
        <w:rPr>
          <w:rFonts w:ascii="Times New Roman" w:hAnsi="Times New Roman" w:cs="Times New Roman"/>
          <w:lang w:val="en-US"/>
        </w:rPr>
        <w:t xml:space="preserve"> strains are able to survive in the presence of antibiotics resulting in </w:t>
      </w:r>
      <w:r w:rsidR="001D76DD" w:rsidRPr="0069088C">
        <w:rPr>
          <w:rFonts w:ascii="Times New Roman" w:hAnsi="Times New Roman" w:cs="Times New Roman"/>
          <w:lang w:val="en-US"/>
        </w:rPr>
        <w:t xml:space="preserve">treatment </w:t>
      </w:r>
      <w:r w:rsidR="00EC7538" w:rsidRPr="0069088C">
        <w:rPr>
          <w:rFonts w:ascii="Times New Roman" w:hAnsi="Times New Roman" w:cs="Times New Roman"/>
          <w:lang w:val="en-US"/>
        </w:rPr>
        <w:t>failure</w:t>
      </w:r>
      <w:r w:rsidR="00EC7538" w:rsidRPr="0069088C" w:rsidDel="001D76DD">
        <w:rPr>
          <w:rFonts w:ascii="Times New Roman" w:hAnsi="Times New Roman" w:cs="Times New Roman"/>
          <w:lang w:val="en-US"/>
        </w:rPr>
        <w:t xml:space="preserve"> </w:t>
      </w:r>
      <w:r w:rsidR="001D76DD" w:rsidRPr="0069088C">
        <w:rPr>
          <w:rFonts w:ascii="Times New Roman" w:hAnsi="Times New Roman" w:cs="Times New Roman"/>
          <w:lang w:val="en-US"/>
        </w:rPr>
        <w:t>of</w:t>
      </w:r>
      <w:r w:rsidR="00833AB5" w:rsidRPr="0069088C">
        <w:rPr>
          <w:rFonts w:ascii="Times New Roman" w:hAnsi="Times New Roman" w:cs="Times New Roman"/>
          <w:lang w:val="en-US"/>
        </w:rPr>
        <w:t xml:space="preserve"> infections </w:t>
      </w:r>
      <w:r w:rsidR="00833AB5"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{"citationItems":[{"id":"ITEM-1","itemData":{"DOI":"10.1038/s41564-020-0723-z","ISSN":"20585276","PMID":"32424338","abstract":"The rapid emergence and dissemination of multidrug-resistant (MDR) bacterial pathogens pose a serious threat to global healthcare. One particular concern is the carbapenem-resistant Enterobacteriaceae (CRE), a group of Gram-negative bacteria that have evolved resistance to all or nearly all available antibiotics. Coupled with the fact of barren antibiotic development pipeline nowadays, a critical approach is to revitalize existing antibiotics using antibiotic adjuvants. We found a short linear antibacterial peptide (SLAP)-S25 carrying four non-natural amino acids of 2,4-diaminobutanoic acid (Dab), which solely showed weak antibacterial activity but boosted the efficacy of antibiotics covering all major classes, including cefepime, colistin, ofloxacin, rifampicin, tetracycline and vancomycin, against MDR Gram-negative pathogens. Mechanistic studies showed that SLAP-S25 triggers membrane damage by binding to both lipopolysaccharide (LPS) in the outer membrane and phosphatidylglycerol (PG) in bacterial cytoplasmic membrane, to potentiate antibiotic efficacy through collaborative strategies. Lastly, SLAP-S25 effectively enhanced the activity of colistin against MDR Escherichia coli-associated infections in three animal models. Our findings provide a potential therapeutic option using existing antibiotics in combination with broad-spectrum antibiotic adjuvants, to address the prevalent infections caused by MDR Gram-negative pathogens worldwide.","author":[{"dropping-particle":"","family":"Song","given":"Meirong","non-dropping-particle":"","parse-names":false,"suffix":""},{"dropping-particle":"","family":"Liu","given":"Yuan","non-dropping-particle":"","parse-names":false,"suffix":""},{"dropping-particle":"","family":"Huang","given":"Xiaoyong","non-dropping-particle":"","parse-names":false,"suffix":""},{"dropping-particle":"","family":"Ding","given":"Shuangyang","non-dropping-particle":"","parse-names":false,"suffix":""},{"dropping-particle":"","family":"Wang","given":"Yang","non-dropping-particle":"","parse-names":false,"suffix":""},{"dropping-particle":"","family":"Shen","given":"Jianzhong","non-dropping-particle":"","parse-names":false,"suffix":""},{"dropping-particle":"","family":"Zhu","given":"Kui","non-dropping-particle":"","parse-names":false,"suffix":""}],"container-title":"Nature Microbiology","id":"ITEM-1","issue":"8","issued":{"date-parts":[["2020"]]},"page":"1040-1050","publisher":"Springer US","title":"A broad-spectrum antibiotic adjuvant reverses multidrug-resistant Gram-negative pathogens","type":"article-journal","volume":"5"},"uris":["http://www.mendeley.com/documents/?uuid=f8e4e584-2c14-4cd1-ae91-1dd85ce38b3b"]}],"mendeley":{"formattedCitation":"&lt;sup&gt;2&lt;/sup&gt;","plainTextFormattedCitation":"2","previouslyFormattedCitation":"&lt;sup&gt;2&lt;/sup&gt;"},"properties":{"noteIndex":0},"schema":"https://github.com/citation-style-language/schema/raw/master/csl-citation.json"}</w:instrText>
      </w:r>
      <w:r w:rsidR="00833AB5" w:rsidRPr="0069088C">
        <w:rPr>
          <w:rFonts w:ascii="Times New Roman" w:hAnsi="Times New Roman" w:cs="Times New Roman"/>
          <w:lang w:val="en-US"/>
        </w:rPr>
        <w:fldChar w:fldCharType="separate"/>
      </w:r>
      <w:r w:rsidR="00833AB5" w:rsidRPr="0069088C">
        <w:rPr>
          <w:rFonts w:ascii="Times New Roman" w:hAnsi="Times New Roman" w:cs="Times New Roman"/>
          <w:noProof/>
          <w:vertAlign w:val="superscript"/>
          <w:lang w:val="en-US"/>
        </w:rPr>
        <w:t>2</w:t>
      </w:r>
      <w:r w:rsidR="00833AB5" w:rsidRPr="0069088C">
        <w:rPr>
          <w:rFonts w:ascii="Times New Roman" w:hAnsi="Times New Roman" w:cs="Times New Roman"/>
          <w:lang w:val="en-US"/>
        </w:rPr>
        <w:fldChar w:fldCharType="end"/>
      </w:r>
      <w:r w:rsidR="00F0462D" w:rsidRPr="0069088C">
        <w:rPr>
          <w:rFonts w:ascii="Times New Roman" w:hAnsi="Times New Roman" w:cs="Times New Roman"/>
          <w:lang w:val="en-US"/>
        </w:rPr>
        <w:t xml:space="preserve">. Antibiotic failures affect nearly 180 million people worldwide, with a predicted increase to 225 million by 2030. </w:t>
      </w:r>
      <w:r w:rsidR="00721609" w:rsidRPr="0069088C">
        <w:rPr>
          <w:rFonts w:ascii="Times New Roman" w:hAnsi="Times New Roman" w:cs="Times New Roman"/>
          <w:lang w:val="en-US"/>
        </w:rPr>
        <w:t>However, the insertion of new antibiotics in the market has been decreasing over the years due to the search for new antimicrobials to bring low profits to the pharmaceutical industry</w:t>
      </w:r>
      <w:r w:rsidR="00F0462D" w:rsidRPr="0069088C">
        <w:rPr>
          <w:rFonts w:ascii="Times New Roman" w:hAnsi="Times New Roman" w:cs="Times New Roman"/>
          <w:lang w:val="en-US"/>
        </w:rPr>
        <w:t>, so new strategies for the treatment of infections are necessary</w:t>
      </w:r>
      <w:r w:rsidR="0099446F" w:rsidRPr="0069088C">
        <w:rPr>
          <w:rFonts w:ascii="Times New Roman" w:hAnsi="Times New Roman" w:cs="Times New Roman"/>
          <w:lang w:val="en-US"/>
        </w:rPr>
        <w:t xml:space="preserve"> </w:t>
      </w:r>
      <w:r w:rsidR="00855DDB"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{"citationItems":[{"id":"ITEM-1","itemData":{"DOI":"10.2174/138955709788681582","ISBN":"1389-5575/1875-5607","ISSN":"13895575","PMID":"19601890","abstract":"Photodynamic activity of chemical compounds towards microorganisms was first published at the turn of 20th century and it is based on the concept that a chemical compound, known as the photosensitizer, is localized preferentially in the microorganism and subsequently activated by low doses of visible light of an appropriate wavelength to generate reactive oxygen species that are toxic to the target microorganisms. Processes, in which absorption of light by a photosensitizer induces chemical changes in another molecule, are defined as photosensitizing reactions. Since the middle of the last century, antibacterial photosensitizing reactions were forgotten because of the discovery and the beginning of the Golden Age of antibiotics. Certainly, in the last decades the worldwide rise in antibiotic resistance has driven research to the development of new anti-microbial strategies. Different classes of molecules including phenothiazine, porphyrines, phthalocyanines, and fullerenes have demonstrated antimicrobial efficacy against a broad spectrum of antibiotic resistant microorganisms upon illumination. Due to their extended pi-conjugated system these molecules absorb visible light, have a high triplet quantum yield and can generate reactive oxygen species upon illumination. This mini-review will focus on some major advances regarding physical and chemical properties of photosensitizers and light sources that appear to be suitable in the field of antimicrobial photodynamic therapy. Currently, topical application of a photosensitizer on infected tissues and subsequent illumination seems to be the most promising feature of antimicrobial photodynamic therapy, thereby not harming the surrounding tissue or disturbing the residual bacteria-flora of the tissue.","author":[{"dropping-particle":"","family":"Maisch","given":"Tim","non-dropping-particle":"","parse-names":false,"suffix":""}],"container-title":"Mini-Reviews in Medicinal Chemistry","id":"ITEM-1","issue":"8","issued":{"date-parts":[["2009","7","1"]]},"page":"974-983","title":"A New Strategy to Destroy Antibiotic Resistant Microorganisms: Antimicrobial Photodynamic Treatment","type":"article-journal","volume":"9"},"uris":["http://www.mendeley.com/documents/?uuid=c4a07cde-f8bb-444b-bd84-d5b775724443"]},{"id":"ITEM-2","itemData":{"DOI":"10.1038/s41598-020-70921-2","ISBN":"0123456789","ISSN":"20452322","PMID":"32848171","abstract":"The upsurge of multidrug resistant bacterial infections with declining pipeline of newer antibiotics has made it imperative to develop newer molecules or tailor the existing molecules for more effective antimicrobial therapies. Since antiquity, the use of curcumin, in the form of Curcuma longa paste, to treat infectious lesions is unperturbed despite its grave limitations like instability and aqueous insolubility. Here, we utilized “click” chemistry to address both the issues along with improvisation of its antibacterial and antibiofilm profile. We show that soluble curcumin disrupts several bacterial cellular processes leading to the Fenton’s chemistry mediated increased production of reactive oxygen species and increased membrane permeability of both Gram-positive and Gram-negative bacteria. We here report that its ability to induce oxidative stress can be harnessed to potentiate activities of ciprofloxacin, meropenem, and vancomycin. In addition, we demonstrated that the soluble curcumin reported herein even sensitizes resistant Gram-negative clinical isolates to the Gram-positive specific antibiotic vancomycin, thereby expanding the antibacterial spectrum of this drug. This work shows that the soluble curcumin can be used to enhance the action of existing antimicrobials against both Gram-positive and Gram-negative bacteria thus strengthening the antibiotic arsenal for fighting resistant bacterial infections for many years to come.","author":[{"dropping-particle":"","family":"Yadav","given":"Shivangi","non-dropping-particle":"","parse-names":false,"suffix":""},{"dropping-particle":"","family":"Singh","given":"Ashish Kumar","non-dropping-particle":"","parse-names":false,"suffix":""},{"dropping-particle":"","family":"Agrahari","given":"Anand Kumar","non-dropping-particle":"","parse-names":false,"suffix":""},{"dropping-particle":"","family":"Sharma","given":"Kavyanjali","non-dropping-particle":"","parse-names":false,"suffix":""},{"dropping-particle":"","family":"Singh","given":"Anoop Shyam","non-dropping-particle":"","parse-names":false,"suffix":""},{"dropping-particle":"","family":"Gupta","given":"Munesh Kumar","non-dropping-particle":"","parse-names":false,"suffix":""},{"dropping-particle":"","family":"Tiwari","given":"Vinod Kumar","non-dropping-particle":"","parse-names":false,"suffix":""},{"dropping-particle":"","family":"Prakash","given":"Pradyot","non-dropping-particle":"","parse-names":false,"suffix":""}],"container-title":"Scientific Reports","id":"ITEM-2","issue":"1","issued":{"date-parts":[["2020"]]},"page":"1-22","publisher":"Nature Publishing Group UK","title":"Making of water soluble curcumin to potentiate conventional antimicrobials by inducing apoptosis-like phenomena among drug-resistant bacteria","type":"article-journal","volume":"10"},"uris":["http://www.mendeley.com/documents/?uuid=333b6b57-664d-45ac-95ad-7dc4d31c39b1"]}],"mendeley":{"formattedCitation":"&lt;sup&gt;3,4&lt;/sup&gt;","plainTextFormattedCitation":"3,4","previouslyFormattedCitation":"&lt;sup&gt;3,4&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3,4</w:t>
      </w:r>
      <w:r w:rsidR="00855DDB" w:rsidRPr="0069088C">
        <w:rPr>
          <w:rFonts w:ascii="Times New Roman" w:hAnsi="Times New Roman" w:cs="Times New Roman"/>
          <w:lang w:val="en-US"/>
        </w:rPr>
        <w:fldChar w:fldCharType="end"/>
      </w:r>
      <w:r w:rsidR="0099446F" w:rsidRPr="0069088C">
        <w:rPr>
          <w:rFonts w:ascii="Times New Roman" w:hAnsi="Times New Roman" w:cs="Times New Roman"/>
          <w:lang w:val="en-US"/>
        </w:rPr>
        <w:t>.</w:t>
      </w:r>
      <w:r w:rsidR="00245FB8" w:rsidRPr="0069088C">
        <w:rPr>
          <w:rFonts w:ascii="Times New Roman" w:hAnsi="Times New Roman" w:cs="Times New Roman"/>
          <w:lang w:val="en-US"/>
        </w:rPr>
        <w:t xml:space="preserve"> This prediction precedes the mass use of antibiotics for the treatment of patients infected with SARS-CoV-2, who had the wrong prescription of this drug, since the cases of co-infection of the virus with bacteria are less than 4%, without a doubt. the global scenario of bacterial resistance to antibiotics may have been accelerated. </w:t>
      </w:r>
      <w:r w:rsidR="0099446F" w:rsidRPr="0069088C">
        <w:rPr>
          <w:rFonts w:ascii="Times New Roman" w:hAnsi="Times New Roman" w:cs="Times New Roman"/>
          <w:lang w:val="en-US"/>
        </w:rPr>
        <w:t xml:space="preserve"> </w:t>
      </w:r>
      <w:r w:rsidR="00F0462D" w:rsidRPr="0069088C">
        <w:rPr>
          <w:rFonts w:ascii="Times New Roman" w:hAnsi="Times New Roman" w:cs="Times New Roman"/>
          <w:lang w:val="en-US"/>
        </w:rPr>
        <w:t xml:space="preserve">Antibiotic therapy remains the gold standard for the treatment of infections, although there is an increase in cases of </w:t>
      </w:r>
      <w:r w:rsidR="00F13A4B" w:rsidRPr="0069088C">
        <w:rPr>
          <w:rFonts w:ascii="Times New Roman" w:hAnsi="Times New Roman" w:cs="Times New Roman"/>
          <w:lang w:val="en-US"/>
        </w:rPr>
        <w:t>antibiotic-</w:t>
      </w:r>
      <w:r w:rsidR="00F0462D" w:rsidRPr="0069088C">
        <w:rPr>
          <w:rFonts w:ascii="Times New Roman" w:hAnsi="Times New Roman" w:cs="Times New Roman"/>
          <w:lang w:val="en-US"/>
        </w:rPr>
        <w:t>resistant and persistent bacteria in chronic cases</w:t>
      </w:r>
      <w:r w:rsidR="007D765F" w:rsidRPr="0069088C">
        <w:rPr>
          <w:rFonts w:ascii="Times New Roman" w:hAnsi="Times New Roman" w:cs="Times New Roman"/>
          <w:lang w:val="en-US"/>
        </w:rPr>
        <w:t xml:space="preserve"> </w:t>
      </w:r>
      <w:r w:rsidR="00855DDB"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{"citationItems":[{"id":"ITEM-1","itemData":{"DOI":"10.1038/nrmicro3380","ISBN":"9996096742","ISSN":"1740-1526","PMID":"21286630","abstract":"Resistance to herbicides occurs in weeds as the result of evolutionary adaptation (Jasieniuk et al. 1996). Basically, two types of mechanisms are involved in resistance (Beckie and Tardif 2012; Délye 2013). Target-site resistance (TSR) is caused by changes in the tridimensional structure of the herbicide target protein that decrease herbicide binding, or by increased activity (e.g., due to increased expression or increased intrinsic activity) of the target protein. Nontarget-site resistance (NTSR) is endowed by any mechanism not belonging to TSR, e.g., reduction in herbicide uptake or translocation in the plant, or enhanced herbicide detoxification (reviewed in Délye 2013; Yuan et al. 2007).","author":[{"dropping-particle":"","family":"Blair","given":"Jessica M A","non-dropping-particle":"","parse-names":false,"suffix":""},{"dropping-particle":"","family":"Webber","given":"Mark A.","non-dropping-particle":"","parse-names":false,"suffix":""},{"dropping-particle":"","family":"Baylay","given":"Alison J.","non-dropping-particle":"","parse-names":false,"suffix":""},{"dropping-particle":"","family":"Ogbolu","given":"David O.","non-dropping-particle":"","parse-names":false,"suffix":""},{"dropping-particle":"V","family":"Piddock","given":"Laura J","non-dropping-particle":"","parse-names":false,"suffix":""}],"container-title":"Nature Reviews Microbiology","id":"ITEM-1","issue":"1","issued":{"date-parts":[["2015","1","1"]]},"page":"42-51","publisher":"Nature Publishing Group","title":"Molecular mechanisms of antibiotic resistance","type":"article-journal","volume":"13"},"uris":["http://www.mendeley.com/documents/?uuid=65601b80-bbcd-405c-83aa-e10cc006935c"]}],"mendeley":{"formattedCitation":"&lt;sup&gt;5&lt;/sup&gt;","plainTextFormattedCitation":"5","previouslyFormattedCitation":"&lt;sup&gt;5&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5</w:t>
      </w:r>
      <w:r w:rsidR="00855DDB" w:rsidRPr="0069088C">
        <w:rPr>
          <w:rFonts w:ascii="Times New Roman" w:hAnsi="Times New Roman" w:cs="Times New Roman"/>
          <w:lang w:val="en-US"/>
        </w:rPr>
        <w:fldChar w:fldCharType="end"/>
      </w:r>
      <w:r w:rsidR="0099446F" w:rsidRPr="0069088C">
        <w:rPr>
          <w:rFonts w:ascii="Times New Roman" w:hAnsi="Times New Roman" w:cs="Times New Roman"/>
          <w:lang w:val="en-US"/>
        </w:rPr>
        <w:t>.</w:t>
      </w:r>
      <w:r w:rsidR="00F0462D" w:rsidRPr="0069088C">
        <w:rPr>
          <w:rFonts w:ascii="Times New Roman" w:hAnsi="Times New Roman" w:cs="Times New Roman"/>
          <w:lang w:val="en-US"/>
        </w:rPr>
        <w:t xml:space="preserve"> </w:t>
      </w:r>
    </w:p>
    <w:p w14:paraId="4A20BE7E" w14:textId="49D701AB" w:rsidR="00B44B1B" w:rsidRPr="0069088C" w:rsidRDefault="003F1880" w:rsidP="0060368B">
      <w:pPr>
        <w:rPr>
          <w:rFonts w:ascii="Times New Roman" w:hAnsi="Times New Roman" w:cs="Times New Roman"/>
          <w:lang w:val="en-US"/>
        </w:rPr>
      </w:pPr>
      <w:r w:rsidRPr="0069088C">
        <w:rPr>
          <w:rFonts w:ascii="Times New Roman" w:hAnsi="Times New Roman" w:cs="Times New Roman"/>
          <w:lang w:val="en-US"/>
        </w:rPr>
        <w:t xml:space="preserve">The combination of treatments may be an alternative to overcome this limitation. </w:t>
      </w:r>
      <w:r w:rsidR="00F0462D" w:rsidRPr="0069088C">
        <w:rPr>
          <w:rFonts w:ascii="Times New Roman" w:hAnsi="Times New Roman" w:cs="Times New Roman"/>
          <w:lang w:val="en-US"/>
        </w:rPr>
        <w:t>Unlike antibiotic therapy</w:t>
      </w:r>
      <w:r w:rsidR="00984025" w:rsidRPr="0069088C">
        <w:rPr>
          <w:rFonts w:ascii="Times New Roman" w:hAnsi="Times New Roman" w:cs="Times New Roman"/>
          <w:lang w:val="en-US"/>
        </w:rPr>
        <w:t xml:space="preserve"> the Photodynamic Inactivation (PDI)</w:t>
      </w:r>
      <w:r w:rsidR="00F0462D" w:rsidRPr="0069088C">
        <w:rPr>
          <w:rFonts w:ascii="Times New Roman" w:hAnsi="Times New Roman" w:cs="Times New Roman"/>
          <w:lang w:val="en-US"/>
        </w:rPr>
        <w:t xml:space="preserve"> is based on the specific interaction of the drug with</w:t>
      </w:r>
      <w:r w:rsidR="00984025" w:rsidRPr="0069088C">
        <w:rPr>
          <w:rFonts w:ascii="Times New Roman" w:hAnsi="Times New Roman" w:cs="Times New Roman"/>
          <w:lang w:val="en-US"/>
        </w:rPr>
        <w:t xml:space="preserve"> biological targets such as occurs in bacteria</w:t>
      </w:r>
      <w:r w:rsidR="00855DDB"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{"citationItems":[{"id":"ITEM-1","itemData":{"DOI":"10.3389/fmicb.2018.02928","ISSN":"1664302X","abstract":"Emergence of antibiotic resistant pathogenic bacteria poses a serious public health challenge worldwide. However, antibiotic resistance genes are not confined to the clinic; instead they are widely prevalent in different bacterial populations in the environment. Therefore, to understand development of antibiotic resistance in pathogens, we need to consider important reservoirs of resistance genes, which may include determinants that confer self-resistance in antibiotic producing soil bacteria and genes encoding intrinsic resistance mechanisms present in all or most non-producer environmental bacteria. While the presence of resistance determinants in soil and environmental bacteria does not pose a threat to human health, their mobilization to new hosts and their expression under different contexts, for example their transfer to plasmids and integrons in pathogenic bacteria, can translate into a problem of huge proportions, as discussed in this review. Selective pressure brought about by human activities further results in enrichment of such determinants in bacterial populations. Thus, there is an urgent need to understand distribution of resistance determinants in bacterial populations, elucidate resistance mechanisms, and determine environmental factors that promote their dissemination. This comprehensive review describes the major known self-resistance mechanisms found in producer soil bacteria of the genus Streptomyces and explores the relationships between resistance determinants found in producer soil bacteria, non-producer environmental bacteria, and clinical isolates. Specific examples highlighting potential pathways by which pathogenic clinical isolates might acquire these resistance determinants from soil and environmental bacteria are also discussed. Overall, this article provides a conceptual framework for understanding the complexity of the problem of emergence of antibiotic resistance in the clinic. Availability of such knowledge will allow researchers to build models for dissemination of resistance genes and for developing interventions to prevent recruitment of additional or novel genes into pathogens.","author":[{"dropping-particle":"","family":"Peterson","given":"Elizabeth","non-dropping-particle":"","parse-names":false,"suffix":""},{"dropping-particle":"","family":"Kaur","given":"Parjit","non-dropping-particle":"","parse-names":false,"suffix":""}],"container-title":"Frontiers in Microbiology","id":"ITEM-1","issue":"NOV","issued":{"date-parts":[["2018"]]},"page":"1-21","title":"Antibiotic resistance mechanisms in bacteria: Relationships between resistance determinants of antibiotic producers, environmental bacteria, and clinical pathogens","type":"article-journal","volume":"9"},"uris":["http://www.mendeley.com/documents/?uuid=3fe92b5e-f946-44e8-8ec1-5b229c8efded"]}],"mendeley":{"formattedCitation":"&lt;sup&gt;6&lt;/sup&gt;","plainTextFormattedCitation":"6","previouslyFormattedCitation":"&lt;sup&gt;6&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6</w:t>
      </w:r>
      <w:r w:rsidR="00855DDB" w:rsidRPr="0069088C">
        <w:rPr>
          <w:rFonts w:ascii="Times New Roman" w:hAnsi="Times New Roman" w:cs="Times New Roman"/>
          <w:lang w:val="en-US"/>
        </w:rPr>
        <w:fldChar w:fldCharType="end"/>
      </w:r>
      <w:r w:rsidR="0099446F" w:rsidRPr="0069088C">
        <w:rPr>
          <w:rFonts w:ascii="Times New Roman" w:hAnsi="Times New Roman" w:cs="Times New Roman"/>
          <w:lang w:val="en-US"/>
        </w:rPr>
        <w:t>,</w:t>
      </w:r>
      <w:r w:rsidR="00F0462D" w:rsidRPr="0069088C">
        <w:rPr>
          <w:rFonts w:ascii="Times New Roman" w:hAnsi="Times New Roman" w:cs="Times New Roman"/>
          <w:lang w:val="en-US"/>
        </w:rPr>
        <w:t xml:space="preserve"> </w:t>
      </w:r>
      <w:r w:rsidR="0099446F" w:rsidRPr="0069088C">
        <w:rPr>
          <w:rFonts w:ascii="Times New Roman" w:hAnsi="Times New Roman" w:cs="Times New Roman"/>
          <w:lang w:val="en-US"/>
        </w:rPr>
        <w:t>PDI</w:t>
      </w:r>
      <w:r w:rsidR="00F0462D" w:rsidRPr="0069088C">
        <w:rPr>
          <w:rFonts w:ascii="Times New Roman" w:hAnsi="Times New Roman" w:cs="Times New Roman"/>
          <w:lang w:val="en-US"/>
        </w:rPr>
        <w:t xml:space="preserve"> </w:t>
      </w:r>
      <w:r w:rsidR="007B7F9B" w:rsidRPr="0069088C">
        <w:rPr>
          <w:rFonts w:ascii="Times New Roman" w:hAnsi="Times New Roman" w:cs="Times New Roman"/>
          <w:lang w:val="en-US"/>
        </w:rPr>
        <w:t>promoting its death by oxidative stress in multiple cellular structures, preventing the development of resistance after PDI 7</w:t>
      </w:r>
      <w:r w:rsidR="00855DDB"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{"citationItems":[{"id":"ITEM-1","itemData":{"DOI":"10.3389/fmicb.2018.00930","ISSN":"1664-302X","abstract":"Antimicrobial photodynamic inactivation (aPDI) is a promising tool for the eradication of life-threatening pathogens with different profiles of resistance. This study presents the state-of-the-art published studies that have been dedicated to analyzing the bactericidal effects of combining aPDI and routinely applied antibiotics in in vitro (using biofilm and planktonic cultures) and in vivo experiments. Furthermore, the current paper reviews the methodology used to obtain the published data that describes the synergy between these antimicrobial approaches. The authors are convinced that even though the combined efficacy of aPDI and antimicrobials could be investigated with the wide range of methods, the use of a unified experimental methodology that is in agreement with antimicrobial susceptibility testing (AST) is required to investigate possible synergistic cooperation between aPDI and antimicrobials. Conclusions concerning the possible synergistic activity between the two treatments can be drawn only when appropriate assays are employed. It must be noticed that some of the described papers were just aimed at determination if combined treatments exert enhanced antibacterial outcome, without following the standard methodology to evaluate the synergistic effect, but in most of them (18 out of 27) authors indicated the existence of synergy between described antibacterial approaches. In general, the increase in bacterial inactivation was observed when both therapies were used in combination.","author":[{"dropping-particle":"","family":"Wozniak","given":"Agata","non-dropping-particle":"","parse-names":false,"suffix":""},{"dropping-particle":"","family":"Grinholc","given":"Mariusz","non-dropping-particle":"","parse-names":false,"suffix":""}],"container-title":"Frontiers in Microbiology","id":"ITEM-1","issue":"MAY","issued":{"date-parts":[["2018","5","8"]]},"title":"Combined Antimicrobial Activity of Photodynamic Inactivation and Antimicrobials–State of the Art","type":"article-journal","volume":"9"},"uris":["http://www.mendeley.com/documents/?uuid=8a3d83b2-679f-44e4-a9e2-8a58e883b7d1"]}],"mendeley":{"formattedCitation":"&lt;sup&gt;7&lt;/sup&gt;","plainTextFormattedCitation":"7","previouslyFormattedCitation":"&lt;sup&gt;7&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7</w:t>
      </w:r>
      <w:r w:rsidR="00855DDB" w:rsidRPr="0069088C">
        <w:rPr>
          <w:rFonts w:ascii="Times New Roman" w:hAnsi="Times New Roman" w:cs="Times New Roman"/>
          <w:lang w:val="en-US"/>
        </w:rPr>
        <w:fldChar w:fldCharType="end"/>
      </w:r>
      <w:r w:rsidR="0099446F" w:rsidRPr="0069088C">
        <w:rPr>
          <w:rFonts w:ascii="Times New Roman" w:hAnsi="Times New Roman" w:cs="Times New Roman"/>
          <w:lang w:val="en-US"/>
        </w:rPr>
        <w:t xml:space="preserve">. </w:t>
      </w:r>
      <w:r w:rsidR="008800ED" w:rsidRPr="0069088C">
        <w:rPr>
          <w:rFonts w:ascii="Times New Roman" w:hAnsi="Times New Roman" w:cs="Times New Roman"/>
          <w:lang w:val="en-US"/>
        </w:rPr>
        <w:t>The mechanism</w:t>
      </w:r>
      <w:r w:rsidR="00E65D44" w:rsidRPr="0069088C">
        <w:rPr>
          <w:rFonts w:ascii="Times New Roman" w:hAnsi="Times New Roman" w:cs="Times New Roman"/>
          <w:lang w:val="en-US"/>
        </w:rPr>
        <w:t>-based PDI is the</w:t>
      </w:r>
      <w:r w:rsidR="008800ED" w:rsidRPr="0069088C">
        <w:rPr>
          <w:rFonts w:ascii="Times New Roman" w:hAnsi="Times New Roman" w:cs="Times New Roman"/>
          <w:lang w:val="en-US"/>
        </w:rPr>
        <w:t xml:space="preserve"> reactive oxygen species (ROS) </w:t>
      </w:r>
      <w:r w:rsidR="00E65D44" w:rsidRPr="0069088C">
        <w:rPr>
          <w:rFonts w:ascii="Times New Roman" w:hAnsi="Times New Roman" w:cs="Times New Roman"/>
          <w:lang w:val="en-US"/>
        </w:rPr>
        <w:t>production</w:t>
      </w:r>
      <w:r w:rsidR="008800ED" w:rsidRPr="0069088C">
        <w:rPr>
          <w:rFonts w:ascii="Times New Roman" w:hAnsi="Times New Roman" w:cs="Times New Roman"/>
          <w:lang w:val="en-US"/>
        </w:rPr>
        <w:t xml:space="preserve"> result</w:t>
      </w:r>
      <w:r w:rsidR="004712E7" w:rsidRPr="0069088C">
        <w:rPr>
          <w:rFonts w:ascii="Times New Roman" w:hAnsi="Times New Roman" w:cs="Times New Roman"/>
          <w:lang w:val="en-US"/>
        </w:rPr>
        <w:t>s</w:t>
      </w:r>
      <w:r w:rsidR="00E65D44" w:rsidRPr="0069088C">
        <w:rPr>
          <w:rFonts w:ascii="Times New Roman" w:hAnsi="Times New Roman" w:cs="Times New Roman"/>
          <w:lang w:val="en-US"/>
        </w:rPr>
        <w:t xml:space="preserve"> in </w:t>
      </w:r>
      <w:r w:rsidR="008800ED" w:rsidRPr="0069088C">
        <w:rPr>
          <w:rFonts w:ascii="Times New Roman" w:hAnsi="Times New Roman" w:cs="Times New Roman"/>
          <w:lang w:val="en-US"/>
        </w:rPr>
        <w:t xml:space="preserve">the </w:t>
      </w:r>
      <w:r w:rsidR="004712E7" w:rsidRPr="0069088C">
        <w:rPr>
          <w:rFonts w:ascii="Times New Roman" w:hAnsi="Times New Roman" w:cs="Times New Roman"/>
          <w:lang w:val="en-US"/>
        </w:rPr>
        <w:t xml:space="preserve">photon </w:t>
      </w:r>
      <w:r w:rsidR="008800ED" w:rsidRPr="0069088C">
        <w:rPr>
          <w:rFonts w:ascii="Times New Roman" w:hAnsi="Times New Roman" w:cs="Times New Roman"/>
          <w:lang w:val="en-US"/>
        </w:rPr>
        <w:t>absorption by photosensitizer (PS), capable of promoting an electron from the ground state (S0) to the excited singlet state (S1), which has high probability of transitioning to the triplet excited state (T1). The interaction of PS with O</w:t>
      </w:r>
      <w:r w:rsidR="008800ED" w:rsidRPr="0069088C">
        <w:rPr>
          <w:rFonts w:ascii="Times New Roman" w:hAnsi="Times New Roman" w:cs="Times New Roman"/>
          <w:vertAlign w:val="subscript"/>
          <w:lang w:val="en-US"/>
        </w:rPr>
        <w:t>2</w:t>
      </w:r>
      <w:r w:rsidR="008800ED" w:rsidRPr="0069088C">
        <w:rPr>
          <w:rFonts w:ascii="Times New Roman" w:hAnsi="Times New Roman" w:cs="Times New Roman"/>
          <w:lang w:val="en-US"/>
        </w:rPr>
        <w:t xml:space="preserve"> can occur through two types of reaction called type I and type II </w:t>
      </w:r>
      <w:r w:rsidR="00855DDB"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{"citationItems":[{"id":"ITEM-1","itemData":{"DOI":"10.1016/S1473-3099(16)30268-7","ISBN":"1202600880825","ISSN":"14733099","PMID":"8951407","abstract":"Although conventional antimicrobial drugs have been viewed as miraculous cure-alls for the past 80 years, increasing antimicrobial drug resistance requires a major and rapid intervention. However, the development of novel but still conventional systemic antimicrobial agents, having only a single mode or site of action, will not alleviate the situation because it is probably only a matter of time until any such agents will also become ineffective. To continue to produce new agents based on this notion is unacceptable, and there is an increasing need for alternative approaches to the problem. By contrast, light-activated molecules called photoantimicrobials act locally via the in-situ production of highly reactive oxygen species, which simultaneously attack various biomolecular sites in the pathogenic target and therefore offer both multiple and variable sites of action. This non-specificity at the target circumvents conventional mechanisms of resistance and inhibits the development of resistance to the agents themselves. Photoantimicrobial therapy is safe and easy to implement and, unlike conventional agents, the activity spectrum of photoantimicrobials covers bacteria, fungi, viruses, and protozoa. However, clinical trials of these new, truly broad-spectrum, and minimally toxic agents have been few, and the funding for research and development is almost non-existent. Photoantimicrobials constitute one of the few ways forward through the morass of drug-resistant infectious disease and should be fully explored. In this Personal View, we raise awareness of the novel photoantimicrobial technologies that offer a viable alternative to conventional drugs in many relevant application fields, and could thus slow the pace of resistance development.","author":[{"dropping-particle":"","family":"Wainwright","given":"Mark","non-dropping-particle":"","parse-names":false,"suffix":""},{"dropping-particle":"","family":"Maisch","given":"Tim","non-dropping-particle":"","parse-names":false,"suffix":""},{"dropping-particle":"","family":"Nonell","given":"Santi","non-dropping-particle":"","parse-names":false,"suffix":""},{"dropping-particle":"","family":"Plaetzer","given":"Kristjan","non-dropping-particle":"","parse-names":false,"suffix":""},{"dropping-particle":"","family":"Almeida","given":"Adelaide","non-dropping-particle":"","parse-names":false,"suffix":""},{"dropping-particle":"","family":"Tegos","given":"George P.","non-dropping-particle":"","parse-names":false,"suffix":""},{"dropping-particle":"","family":"Hamblin","given":"Michael R.","non-dropping-particle":"","parse-names":false,"suffix":""}],"container-title":"The Lancet Infectious Diseases","id":"ITEM-1","issue":"2","issued":{"date-parts":[["2017","2"]]},"page":"e49-e55","title":"Photoantimicrobials—are we afraid of the light?","type":"article-journal","volume":"17"},"uris":["http://www.mendeley.com/documents/?uuid=2bd601fe-b8bf-46ff-9d89-7e95a65609ae"]},{"id":"ITEM-2","itemData":{"DOI":"10.3390/ijms160920523","ISBN":"1422-0067","ISSN":"1422-0067","PMID":"26334268","abstract":"Photodynamic therapy (PDT) is a clinical modality used to treat cancer and infectious diseases. The main agent is the photosensitizer (PS), which is excited by light and converted to a triplet excited state. This latter species leads to the formation of singlet oxygen and radicals that oxidize biomolecules. The main motivation for this review is to suggest alternatives for achieving high-efficiency PDT protocols, by taking advantage of knowledge on the chemical and biological processes taking place during and after photosensitization. We defend that in order to obtain specific mechanisms of cell death and maximize PDT efficiency, PSes should oxidize specific molecular targets. We consider the role of subcellular localization, how PS photochemistry and photophysics can change according to its nanoenvironment, and how can all these trigger specific cell death mechanisms. We propose that in order to develop PSes that will cause a breakthrough enhancement in the efficiency of PDT, researchers should first consider tissue and intracellular localization, instead of trying to maximize singlet oxygen quantum yields in in vitro tests. In addition to this, we also indicate many open questions and challenges remaining in this field, hoping to encourage future research.","author":[{"dropping-particle":"","family":"Bacellar","given":"Isabel","non-dropping-particle":"","parse-names":false,"suffix":""},{"dropping-particle":"","family":"Tsubone","given":"Tayana","non-dropping-particle":"","parse-names":false,"suffix":""},{"dropping-particle":"","family":"Pavani","given":"Christiane","non-dropping-particle":"","parse-names":false,"suffix":""},{"dropping-particle":"","family":"Baptista","given":"Mauricio","non-dropping-particle":"","parse-names":false,"suffix":""}],"container-title":"International Journal of Molecular Sciences","id":"ITEM-2","issue":"9","issued":{"date-parts":[["2015","8","31"]]},"page":"20523-20559","title":"Photodynamic Efficiency: From Molecular Photochemistry to Cell Death","type":"article-journal","volume":"16"},"uris":["http://www.mendeley.com/documents/?uuid=40569bef-a681-4b42-afc4-a006e4679fa1"]}],"mendeley":{"formattedCitation":"&lt;sup&gt;8,9&lt;/sup&gt;","plainTextFormattedCitation":"8,9","previouslyFormattedCitation":"&lt;sup&gt;8,9&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8,9</w:t>
      </w:r>
      <w:r w:rsidR="00855DDB" w:rsidRPr="0069088C">
        <w:rPr>
          <w:rFonts w:ascii="Times New Roman" w:hAnsi="Times New Roman" w:cs="Times New Roman"/>
          <w:lang w:val="en-US"/>
        </w:rPr>
        <w:fldChar w:fldCharType="end"/>
      </w:r>
      <w:r w:rsidR="008800ED" w:rsidRPr="0069088C">
        <w:rPr>
          <w:rFonts w:ascii="Times New Roman" w:hAnsi="Times New Roman" w:cs="Times New Roman"/>
          <w:lang w:val="en-US"/>
        </w:rPr>
        <w:t>. In the type I reaction, PS in the T1 state transfers electrons to organic substrates or biomolecules, forming radical ions that tend to react with molecular oxygen, resulting in ROS such as hydrogen peroxide (H</w:t>
      </w:r>
      <w:r w:rsidR="008800ED" w:rsidRPr="0069088C">
        <w:rPr>
          <w:rFonts w:ascii="Times New Roman" w:hAnsi="Times New Roman" w:cs="Times New Roman"/>
          <w:vertAlign w:val="subscript"/>
          <w:lang w:val="en-US"/>
        </w:rPr>
        <w:t>2</w:t>
      </w:r>
      <w:r w:rsidR="008800ED" w:rsidRPr="0069088C">
        <w:rPr>
          <w:rFonts w:ascii="Times New Roman" w:hAnsi="Times New Roman" w:cs="Times New Roman"/>
          <w:lang w:val="en-US"/>
        </w:rPr>
        <w:t>O</w:t>
      </w:r>
      <w:r w:rsidR="008800ED" w:rsidRPr="0069088C">
        <w:rPr>
          <w:rFonts w:ascii="Times New Roman" w:hAnsi="Times New Roman" w:cs="Times New Roman"/>
          <w:vertAlign w:val="subscript"/>
          <w:lang w:val="en-US"/>
        </w:rPr>
        <w:t>2</w:t>
      </w:r>
      <w:r w:rsidR="008800ED" w:rsidRPr="0069088C">
        <w:rPr>
          <w:rFonts w:ascii="Times New Roman" w:hAnsi="Times New Roman" w:cs="Times New Roman"/>
          <w:lang w:val="en-US"/>
        </w:rPr>
        <w:t>), superoxide anion radical (O</w:t>
      </w:r>
      <w:r w:rsidR="008800ED" w:rsidRPr="0069088C">
        <w:rPr>
          <w:rFonts w:ascii="Times New Roman" w:hAnsi="Times New Roman" w:cs="Times New Roman"/>
          <w:vertAlign w:val="subscript"/>
          <w:lang w:val="en-US"/>
        </w:rPr>
        <w:t>2</w:t>
      </w:r>
      <w:r w:rsidR="008800ED" w:rsidRPr="0069088C">
        <w:rPr>
          <w:rFonts w:ascii="Times New Roman" w:hAnsi="Times New Roman" w:cs="Times New Roman"/>
          <w:lang w:val="en-US"/>
        </w:rPr>
        <w:t>−) and hydroxyl (−OH). In contrast, in the type II reaction, PS in the T1 state transfers energy directly to molecular oxygen, through molecular encounter, exciting it to its highly reactive singlet state (</w:t>
      </w:r>
      <w:r w:rsidR="008800ED" w:rsidRPr="0069088C">
        <w:rPr>
          <w:rFonts w:ascii="Times New Roman" w:hAnsi="Times New Roman" w:cs="Times New Roman"/>
          <w:vertAlign w:val="superscript"/>
          <w:lang w:val="en-US"/>
        </w:rPr>
        <w:t>1</w:t>
      </w:r>
      <w:r w:rsidR="008800ED" w:rsidRPr="0069088C">
        <w:rPr>
          <w:rFonts w:ascii="Times New Roman" w:hAnsi="Times New Roman" w:cs="Times New Roman"/>
          <w:lang w:val="en-US"/>
        </w:rPr>
        <w:t>O</w:t>
      </w:r>
      <w:r w:rsidR="008800ED" w:rsidRPr="0069088C">
        <w:rPr>
          <w:rFonts w:ascii="Times New Roman" w:hAnsi="Times New Roman" w:cs="Times New Roman"/>
          <w:vertAlign w:val="subscript"/>
          <w:lang w:val="en-US"/>
        </w:rPr>
        <w:t>2</w:t>
      </w:r>
      <w:r w:rsidR="008800ED" w:rsidRPr="0069088C">
        <w:rPr>
          <w:rFonts w:ascii="Times New Roman" w:hAnsi="Times New Roman" w:cs="Times New Roman"/>
          <w:lang w:val="en-US"/>
        </w:rPr>
        <w:t xml:space="preserve">). All ROS react with proteins, lipids and nucleic acid promoting bacterial cell death </w:t>
      </w:r>
      <w:r w:rsidR="00855DDB"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{"citationItems":[{"id":"ITEM-1","itemData":{"DOI":"10.2174/138955709788681582","ISBN":"1389-5575/1875-5607","ISSN":"13895575","PMID":"19601890","abstract":"Photodynamic activity of chemical compounds towards microorganisms was first published at the turn of 20th century and it is based on the concept that a chemical compound, known as the photosensitizer, is localized preferentially in the microorganism and subsequently activated by low doses of visible light of an appropriate wavelength to generate reactive oxygen species that are toxic to the target microorganisms. Processes, in which absorption of light by a photosensitizer induces chemical changes in another molecule, are defined as photosensitizing reactions. Since the middle of the last century, antibacterial photosensitizing reactions were forgotten because of the discovery and the beginning of the Golden Age of antibiotics. Certainly, in the last decades the worldwide rise in antibiotic resistance has driven research to the development of new anti-microbial strategies. Different classes of molecules including phenothiazine, porphyrines, phthalocyanines, and fullerenes have demonstrated antimicrobial efficacy against a broad spectrum of antibiotic resistant microorganisms upon illumination. Due to their extended pi-conjugated system these molecules absorb visible light, have a high triplet quantum yield and can generate reactive oxygen species upon illumination. This mini-review will focus on some major advances regarding physical and chemical properties of photosensitizers and light sources that appear to be suitable in the field of antimicrobial photodynamic therapy. Currently, topical application of a photosensitizer on infected tissues and subsequent illumination seems to be the most promising feature of antimicrobial photodynamic therapy, thereby not harming the surrounding tissue or disturbing the residual bacteria-flora of the tissue.","author":[{"dropping-particle":"","family":"Maisch","given":"Tim","non-dropping-particle":"","parse-names":false,"suffix":""}],"container-title":"Mini-Reviews in Medicinal Chemistry","id":"ITEM-1","issue":"8","issued":{"date-parts":[["2009","7","1"]]},"page":"974-983","title":"A New Strategy to Destroy Antibiotic Resistant Microorganisms: Antimicrobial Photodynamic Treatment","type":"article-journal","volume":"9"},"uris":["http://www.mendeley.com/documents/?uuid=c4a07cde-f8bb-444b-bd84-d5b775724443"]},{"id":"ITEM-2","itemData":{"DOI":"10.1039/b311900a","ISSN":"1474-905X","author":[{"dropping-particle":"","family":"Hamblin","given":"Michael R","non-dropping-particle":"","parse-names":false,"suffix":""},{"dropping-particle":"","family":"Hasan","given":"Tayyaba","non-dropping-particle":"","parse-names":false,"suffix":""}],"container-title":"Photochemical &amp; Photobiological Sciences","id":"ITEM-2","issue":"5","issued":{"date-parts":[["2004"]]},"page":"436","title":"Photodynamic therapy: a new antimicrobial approach to infectious disease?","type":"article-journal","volume":"3"},"uris":["http://www.mendeley.com/documents/?uuid=db155656-0fe7-4bbf-8dbe-e4d2593aa18e"]}],"mendeley":{"formattedCitation":"&lt;sup&gt;3,10&lt;/sup&gt;","plainTextFormattedCitation":"3,10","previouslyFormattedCitation":"&lt;sup&gt;3,10&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3,10</w:t>
      </w:r>
      <w:r w:rsidR="00855DDB" w:rsidRPr="0069088C">
        <w:rPr>
          <w:rFonts w:ascii="Times New Roman" w:hAnsi="Times New Roman" w:cs="Times New Roman"/>
          <w:lang w:val="en-US"/>
        </w:rPr>
        <w:fldChar w:fldCharType="end"/>
      </w:r>
      <w:r w:rsidR="008800ED" w:rsidRPr="0069088C">
        <w:rPr>
          <w:rFonts w:ascii="Times New Roman" w:hAnsi="Times New Roman" w:cs="Times New Roman"/>
          <w:lang w:val="en-US"/>
        </w:rPr>
        <w:t>.</w:t>
      </w:r>
      <w:r w:rsidR="006615DC" w:rsidRPr="0069088C">
        <w:rPr>
          <w:rFonts w:ascii="Times New Roman" w:hAnsi="Times New Roman" w:cs="Times New Roman"/>
          <w:lang w:val="en-US"/>
        </w:rPr>
        <w:t xml:space="preserve"> This is how in </w:t>
      </w:r>
      <w:r w:rsidR="006615DC" w:rsidRPr="0069088C">
        <w:rPr>
          <w:rFonts w:ascii="Times New Roman" w:hAnsi="Times New Roman" w:cs="Times New Roman"/>
          <w:lang w:val="en-US"/>
        </w:rPr>
        <w:lastRenderedPageBreak/>
        <w:t>Figure 1.A</w:t>
      </w:r>
      <w:r w:rsidR="007E1315" w:rsidRPr="0069088C">
        <w:rPr>
          <w:rFonts w:ascii="Times New Roman" w:hAnsi="Times New Roman" w:cs="Times New Roman"/>
          <w:lang w:val="en-US"/>
        </w:rPr>
        <w:t xml:space="preserve"> </w:t>
      </w:r>
      <w:r w:rsidR="00B44B1B" w:rsidRPr="0069088C">
        <w:rPr>
          <w:rFonts w:ascii="Times New Roman" w:hAnsi="Times New Roman" w:cs="Times New Roman"/>
          <w:lang w:val="en-US"/>
        </w:rPr>
        <w:t xml:space="preserve">Clinical trial and </w:t>
      </w:r>
      <w:r w:rsidR="00B44B1B" w:rsidRPr="0069088C">
        <w:rPr>
          <w:rFonts w:ascii="Times New Roman" w:hAnsi="Times New Roman" w:cs="Times New Roman"/>
          <w:i/>
          <w:lang w:val="en-US"/>
        </w:rPr>
        <w:t>in vitro</w:t>
      </w:r>
      <w:r w:rsidR="00B44B1B" w:rsidRPr="0069088C">
        <w:rPr>
          <w:rFonts w:ascii="Times New Roman" w:hAnsi="Times New Roman" w:cs="Times New Roman"/>
          <w:lang w:val="en-US"/>
        </w:rPr>
        <w:t xml:space="preserve"> studies are carried out showing the PDI effectiveness for infections being superficial, internal and prevention such as pharyngotonsillitis </w:t>
      </w:r>
      <w:r w:rsidR="00B44B1B" w:rsidRPr="0069088C">
        <w:rPr>
          <w:rFonts w:ascii="Times New Roman" w:hAnsi="Times New Roman" w:cs="Times New Roman"/>
          <w:lang w:val="en-US"/>
        </w:rPr>
        <w:fldChar w:fldCharType="begin" w:fldLock="1"/>
      </w:r>
      <w:r w:rsidR="00B44B1B" w:rsidRPr="0069088C">
        <w:rPr>
          <w:rFonts w:ascii="Times New Roman" w:hAnsi="Times New Roman" w:cs="Times New Roman"/>
          <w:lang w:val="en-US"/>
        </w:rPr>
        <w:instrText>ADDIN CSL_CITATION {"citationItems":[{"id":"ITEM-1","itemData":{"DOI":"10.26717/bjstr.2018.06.001377","author":[{"dropping-particle":"","family":"Blanco","given":"Kate Cristina","non-dropping-particle":"","parse-names":false,"suffix":""}],"container-title":"Biomedical Journal of Scientific &amp; Technical Research","id":"ITEM-1","issue":"4","issued":{"date-parts":[["2018","7","10"]]},"page":"001-003","publisher":"Biomedical Research Network, LLC","title":"PDT, an Adjuvant Therapy to Antibiotic Failure in Streptococcal Tonsillopharyngitis","type":"article-journal","volume":"6"},"uris":["http://www.mendeley.com/documents/?uuid=38f06700-9a34-3766-9311-ea2a24fea55c"]}],"mendeley":{"formattedCitation":"&lt;sup&gt;29&lt;/sup&gt;","plainTextFormattedCitation":"29"},"properties":{"noteIndex":0},"schema":"https://github.com/citation-style-language/schema/raw/master/csl-citation.json"}</w:instrText>
      </w:r>
      <w:r w:rsidR="00B44B1B" w:rsidRPr="0069088C">
        <w:rPr>
          <w:rFonts w:ascii="Times New Roman" w:hAnsi="Times New Roman" w:cs="Times New Roman"/>
          <w:lang w:val="en-US"/>
        </w:rPr>
        <w:fldChar w:fldCharType="separate"/>
      </w:r>
      <w:r w:rsidR="00B44B1B" w:rsidRPr="0069088C">
        <w:rPr>
          <w:rFonts w:ascii="Times New Roman" w:hAnsi="Times New Roman" w:cs="Times New Roman"/>
          <w:vertAlign w:val="superscript"/>
          <w:lang w:val="en-US"/>
        </w:rPr>
        <w:t>29</w:t>
      </w:r>
      <w:r w:rsidR="00B44B1B" w:rsidRPr="0069088C">
        <w:rPr>
          <w:rFonts w:ascii="Times New Roman" w:hAnsi="Times New Roman" w:cs="Times New Roman"/>
          <w:lang w:val="en-US"/>
        </w:rPr>
        <w:fldChar w:fldCharType="end"/>
      </w:r>
      <w:r w:rsidR="00B44B1B" w:rsidRPr="0069088C">
        <w:rPr>
          <w:rFonts w:ascii="Times New Roman" w:hAnsi="Times New Roman" w:cs="Times New Roman"/>
          <w:lang w:val="en-US"/>
        </w:rPr>
        <w:t>, pneumonia</w:t>
      </w:r>
      <w:r w:rsidR="00B44B1B" w:rsidRPr="0069088C">
        <w:rPr>
          <w:rFonts w:ascii="Times New Roman" w:hAnsi="Times New Roman" w:cs="Times New Roman"/>
          <w:lang w:val="en-US"/>
        </w:rPr>
        <w:fldChar w:fldCharType="begin" w:fldLock="1"/>
      </w:r>
      <w:r w:rsidR="00B44B1B" w:rsidRPr="0069088C">
        <w:rPr>
          <w:rFonts w:ascii="Times New Roman" w:hAnsi="Times New Roman" w:cs="Times New Roman"/>
          <w:lang w:val="en-US"/>
        </w:rPr>
        <w:instrText>ADDIN CSL_CITATION {"citationItems":[{"id":"ITEM-1","itemData":{"DOI":"10.1002/jbio.202000176","ISSN":"1864-063X","author":[{"dropping-particle":"","family":"Kassab","given":"Giulia","non-dropping-particle":"","parse-names":false,"suffix":""},{"dropping-particle":"","family":"Cheburkanov","given":"Vsevolod","non-dropping-particle":"","parse-names":false,"suffix":""},{"dropping-particle":"","family":"Willis","given":"Jace","non-dropping-particle":"","parse-names":false,"suffix":""},{"dropping-particle":"","family":"Moule","given":"Madeleine G.","non-dropping-particle":"","parse-names":false,"suffix":""},{"dropping-particle":"","family":"Kurachi","given":"Cristina","non-dropping-particle":"","parse-names":false,"suffix":""},{"dropping-particle":"","family":"Yakovlev","given":"Vladislav","non-dropping-particle":"","parse-names":false,"suffix":""},{"dropping-particle":"","family":"Cirillo","given":"Jeffrey D.","non-dropping-particle":"","parse-names":false,"suffix":""},{"dropping-particle":"","family":"Bagnato","given":"Vanderlei S.","non-dropping-particle":"","parse-names":false,"suffix":""}],"container-title":"Journal of Biophotonics","id":"ITEM-1","issue":"10","issued":{"date-parts":[["2020","10","12"]]},"title":"Safety and delivery efficiency of a photodynamic treatment of the lungs using indocyanine green and extracorporeal near infrared illumination","type":"article-journal","volume":"13"},"uris":["http://www.mendeley.com/documents/?uuid=a9f0377e-7f92-4105-b32c-f8399ffa7791"]}],"mendeley":{"formattedCitation":"&lt;sup&gt;30&lt;/sup&gt;","plainTextFormattedCitation":"30","previouslyFormattedCitation":"&lt;sup&gt;29&lt;/sup&gt;"},"properties":{"noteIndex":0},"schema":"https://github.com/citation-style-language/schema/raw/master/csl-citation.json"}</w:instrText>
      </w:r>
      <w:r w:rsidR="00B44B1B" w:rsidRPr="0069088C">
        <w:rPr>
          <w:rFonts w:ascii="Times New Roman" w:hAnsi="Times New Roman" w:cs="Times New Roman"/>
          <w:lang w:val="en-US"/>
        </w:rPr>
        <w:fldChar w:fldCharType="separate"/>
      </w:r>
      <w:r w:rsidR="00B44B1B" w:rsidRPr="0069088C">
        <w:rPr>
          <w:rFonts w:ascii="Times New Roman" w:hAnsi="Times New Roman" w:cs="Times New Roman"/>
          <w:vertAlign w:val="superscript"/>
          <w:lang w:val="en-US"/>
        </w:rPr>
        <w:t>30</w:t>
      </w:r>
      <w:r w:rsidR="00B44B1B" w:rsidRPr="0069088C">
        <w:rPr>
          <w:rFonts w:ascii="Times New Roman" w:hAnsi="Times New Roman" w:cs="Times New Roman"/>
          <w:lang w:val="en-US"/>
        </w:rPr>
        <w:fldChar w:fldCharType="end"/>
      </w:r>
      <w:r w:rsidR="00B44B1B" w:rsidRPr="0069088C">
        <w:rPr>
          <w:rFonts w:ascii="Times New Roman" w:hAnsi="Times New Roman" w:cs="Times New Roman"/>
          <w:lang w:val="en-US"/>
        </w:rPr>
        <w:t xml:space="preserve"> or in  endotracheal tubes </w:t>
      </w:r>
      <w:r w:rsidR="00B44B1B" w:rsidRPr="0069088C">
        <w:rPr>
          <w:rFonts w:ascii="Times New Roman" w:hAnsi="Times New Roman" w:cs="Times New Roman"/>
          <w:lang w:val="en-US"/>
        </w:rPr>
        <w:fldChar w:fldCharType="begin" w:fldLock="1"/>
      </w:r>
      <w:r w:rsidR="00B44B1B" w:rsidRPr="0069088C">
        <w:rPr>
          <w:rFonts w:ascii="Times New Roman" w:hAnsi="Times New Roman" w:cs="Times New Roman"/>
          <w:lang w:val="en-US"/>
        </w:rPr>
        <w:instrText>ADDIN CSL_CITATION {"citationItems":[{"id":"ITEM-1","itemData":{"DOI":"10.2174/1871526518666180523085754","ISSN":"18715265","abstract":"BACKGROUND: Hospital infections are a public health problem that can occur with the use of catheters and endotracheal tubes (ETT). Pathogenic microorganisms may adhere to surfaces of these materials forming a biofilm and produce an extracellular polymer matrix that promotes resistance of microorganisms to factors such as pH, temperature and drugs. The conventional treatment is being made by antibiotics, which has serious adverse effects in immunocompromised patients. Photodynamic therapy (PDT) is an alternative for microbial inactivation noninvasive without the stimulus of microbial resistance. PDT combines light and a photosensitive molecule for produce reactive oxygen species leading to bacterial death. OBJECTIVE: The objective of this study was to determine the efficacy of a PDT protocol in bacterial inactivation of biofilm ETT. METHOD: The photosensitizer (PS) used was curcumin and the light source LED at 450nm. A statistical experimental design was used for optimization of antimicrobial PDT. RESULTS: The highest microbial inactivation was observed with 70% biofilm reduction in conditions 1.25 mg/mL curcumin, 2 h of PS incubation and 50 J/cm2. CONCLUSION: This study described the photodynamic death of bacteria forming a biofilm on ETT. Parameters optimization was important for clinical application of this system.","author":[{"dropping-particle":"","family":"Zangirolami","given":"Amanda C.","non-dropping-particle":"","parse-names":false,"suffix":""},{"dropping-particle":"","family":"Inada","given":"Natalia M.","non-dropping-particle":"","parse-names":false,"suffix":""},{"dropping-particle":"","family":"Bagnato","given":"Vanderlei S.","non-dropping-particle":"","parse-names":false,"suffix":""},{"dropping-particle":"","family":"Blanco","given":"Kate C.","non-dropping-particle":"","parse-names":false,"suffix":""}],"container-title":"Infectious Disorders - Drug Targets","id":"ITEM-1","issue":"3","issued":{"date-parts":[["2018","8","30"]]},"page":"218-223","publisher":"Bentham Science Publishers Ltd.","title":"Biofilm Destruction on Endotracheal Tubes by Photodynamic Inactivation","type":"article-journal","volume":"18"},"uris":["http://www.mendeley.com/documents/?uuid=364e508f-ba98-313c-b338-2406d68f55c1"]}],"mendeley":{"formattedCitation":"&lt;sup&gt;31&lt;/sup&gt;","plainTextFormattedCitation":"31","previouslyFormattedCitation":"&lt;sup&gt;30&lt;/sup&gt;"},"properties":{"noteIndex":0},"schema":"https://github.com/citation-style-language/schema/raw/master/csl-citation.json"}</w:instrText>
      </w:r>
      <w:r w:rsidR="00B44B1B" w:rsidRPr="0069088C">
        <w:rPr>
          <w:rFonts w:ascii="Times New Roman" w:hAnsi="Times New Roman" w:cs="Times New Roman"/>
          <w:lang w:val="en-US"/>
        </w:rPr>
        <w:fldChar w:fldCharType="separate"/>
      </w:r>
      <w:r w:rsidR="00B44B1B" w:rsidRPr="0069088C">
        <w:rPr>
          <w:rFonts w:ascii="Times New Roman" w:hAnsi="Times New Roman" w:cs="Times New Roman"/>
          <w:vertAlign w:val="superscript"/>
          <w:lang w:val="en-US"/>
        </w:rPr>
        <w:t>31</w:t>
      </w:r>
      <w:r w:rsidR="00B44B1B" w:rsidRPr="0069088C">
        <w:rPr>
          <w:rFonts w:ascii="Times New Roman" w:hAnsi="Times New Roman" w:cs="Times New Roman"/>
          <w:lang w:val="en-US"/>
        </w:rPr>
        <w:fldChar w:fldCharType="end"/>
      </w:r>
      <w:r w:rsidR="00B44B1B" w:rsidRPr="0069088C">
        <w:rPr>
          <w:rFonts w:ascii="Times New Roman" w:hAnsi="Times New Roman" w:cs="Times New Roman"/>
          <w:lang w:val="en-US"/>
        </w:rPr>
        <w:t xml:space="preserve"> </w:t>
      </w:r>
    </w:p>
    <w:p w14:paraId="1079B72E" w14:textId="77777777" w:rsidR="007E1315" w:rsidRPr="0069088C" w:rsidRDefault="007E1315" w:rsidP="0060368B">
      <w:pPr>
        <w:rPr>
          <w:rFonts w:ascii="Times New Roman" w:hAnsi="Times New Roman" w:cs="Times New Roman"/>
          <w:lang w:val="en-US"/>
        </w:rPr>
      </w:pPr>
    </w:p>
    <w:p w14:paraId="0BAB91A2" w14:textId="6A4DE59D" w:rsidR="0060368B" w:rsidRPr="0069088C" w:rsidRDefault="0060368B" w:rsidP="0060368B">
      <w:pPr>
        <w:rPr>
          <w:rFonts w:ascii="Times New Roman" w:hAnsi="Times New Roman" w:cs="Times New Roman"/>
          <w:lang w:val="en-US"/>
        </w:rPr>
      </w:pPr>
      <w:r w:rsidRPr="0069088C">
        <w:rPr>
          <w:rFonts w:ascii="Times New Roman" w:hAnsi="Times New Roman" w:cs="Times New Roman"/>
          <w:lang w:val="en-US"/>
        </w:rPr>
        <w:t xml:space="preserve">Antibiotic therapy and PDI act by a different mechanism to inactivate bacteria when combined. The ROS presence from PDI may cause synergistic effects during antibiotic treatment potentiating the </w:t>
      </w:r>
      <w:r w:rsidR="00212998" w:rsidRPr="0069088C">
        <w:rPr>
          <w:rFonts w:ascii="Times New Roman" w:hAnsi="Times New Roman" w:cs="Times New Roman"/>
          <w:lang w:val="en-US"/>
        </w:rPr>
        <w:t xml:space="preserve">treatment </w:t>
      </w:r>
      <w:r w:rsidRPr="0069088C">
        <w:rPr>
          <w:rFonts w:ascii="Times New Roman" w:hAnsi="Times New Roman" w:cs="Times New Roman"/>
          <w:lang w:val="en-US"/>
        </w:rPr>
        <w:t>action</w:t>
      </w:r>
      <w:r w:rsidRPr="0069088C">
        <w:rPr>
          <w:rFonts w:ascii="Times New Roman" w:hAnsi="Times New Roman" w:cs="Times New Roman"/>
          <w:lang w:val="en-US"/>
        </w:rPr>
        <w:fldChar w:fldCharType="begin" w:fldLock="1"/>
      </w:r>
      <w:r w:rsidRPr="0069088C">
        <w:rPr>
          <w:rFonts w:ascii="Times New Roman" w:hAnsi="Times New Roman" w:cs="Times New Roman"/>
          <w:lang w:val="en-US"/>
        </w:rPr>
        <w:instrText>ADDIN CSL_CITATION {"citationItems":[{"id":"ITEM-1","itemData":{"DOI":"10.1038/nbt.2458","ISSN":"10870156","PMID":"23292609","abstract":"The ever-increasing incidence of antibiotic-resistant infections combined with a weak pipeline of new antibiotics has created a global public health crisis. Accordingly, novel strategies for enhancing our antibiotic arsenal are needed. As antibiotics kill bacteria in part by inducing reactive oxygen species (ROS), we reasoned that targeting microbial ROS production might potentiate antibiotic activity. Here we show that ROS production can be predictably enhanced in Escherichia coli, increasing the bacteria's susceptibility to oxidative attack. We developed an ensemble approach of genome-scale, metabolic models capable of predicting ROS production in E. coli. The metabolic network was systematically perturbed and its flux distribution analyzed to identify targets predicted to increase ROS production. Targets that were predicted in silico were experimentally validated and further shown to confer increased susceptibility to oxidants. Validated targets also increased susceptibility to killing by antibiotics. This work establishes a systems-based method to tune ROS production in bacteria and demonstrates that increased microbial ROS production can potentiate killing by oxidants and antibiotics. © 2013 Nature America, Inc. All rights reserved.","author":[{"dropping-particle":"","family":"Brynildsen","given":"Mark P.","non-dropping-particle":"","parse-names":false,"suffix":""},{"dropping-particle":"","family":"Winkler","given":"Jonathan A.","non-dropping-particle":"","parse-names":false,"suffix":""},{"dropping-particle":"","family":"Spina","given":"Catherine S.","non-dropping-particle":"","parse-names":false,"suffix":""},{"dropping-particle":"","family":"MacDonald","given":"I. Cody","non-dropping-particle":"","parse-names":false,"suffix":""},{"dropping-particle":"","family":"Collins","given":"James J.","non-dropping-particle":"","parse-names":false,"suffix":""}],"container-title":"Nature Biotechnology","id":"ITEM-1","issue":"2","issued":{"date-parts":[["2013"]]},"page":"160-165","publisher":"Nature Publishing Group","title":"Potentiating antibacterial activity by predictably enhancing endogenous microbial ROS production","type":"article-journal","volume":"31"},"uris":["http://www.mendeley.com/documents/?uuid=15ef66fb-ca14-4897-8a8f-927460d7865b"]}],"mendeley":{"formattedCitation":"&lt;sup&gt;11&lt;/sup&gt;","plainTextFormattedCitation":"11","previouslyFormattedCitation":"&lt;sup&gt;11&lt;/sup&gt;"},"properties":{"noteIndex":0},"schema":"https://github.com/citation-style-language/schema/raw/master/csl-citation.json"}</w:instrText>
      </w:r>
      <w:r w:rsidRPr="0069088C">
        <w:rPr>
          <w:rFonts w:ascii="Times New Roman" w:hAnsi="Times New Roman" w:cs="Times New Roman"/>
          <w:lang w:val="en-US"/>
        </w:rPr>
        <w:fldChar w:fldCharType="separate"/>
      </w:r>
      <w:r w:rsidRPr="0069088C">
        <w:rPr>
          <w:rFonts w:ascii="Times New Roman" w:hAnsi="Times New Roman" w:cs="Times New Roman"/>
          <w:noProof/>
          <w:vertAlign w:val="superscript"/>
          <w:lang w:val="en-US"/>
        </w:rPr>
        <w:t>11</w:t>
      </w:r>
      <w:r w:rsidRPr="0069088C">
        <w:rPr>
          <w:rFonts w:ascii="Times New Roman" w:hAnsi="Times New Roman" w:cs="Times New Roman"/>
          <w:lang w:val="en-US"/>
        </w:rPr>
        <w:fldChar w:fldCharType="end"/>
      </w:r>
      <w:r w:rsidRPr="0069088C">
        <w:rPr>
          <w:rFonts w:ascii="Times New Roman" w:hAnsi="Times New Roman" w:cs="Times New Roman"/>
          <w:lang w:val="en-US"/>
        </w:rPr>
        <w:t xml:space="preserve">.  </w:t>
      </w:r>
      <w:r w:rsidR="00FC75D5" w:rsidRPr="0069088C">
        <w:rPr>
          <w:rFonts w:ascii="Times New Roman" w:hAnsi="Times New Roman" w:cs="Times New Roman"/>
          <w:lang w:val="en-US"/>
        </w:rPr>
        <w:t>T</w:t>
      </w:r>
      <w:r w:rsidRPr="0069088C">
        <w:rPr>
          <w:rFonts w:ascii="Times New Roman" w:hAnsi="Times New Roman" w:cs="Times New Roman"/>
          <w:lang w:val="en-US"/>
        </w:rPr>
        <w:t>his study</w:t>
      </w:r>
      <w:r w:rsidR="00FC75D5" w:rsidRPr="0069088C">
        <w:rPr>
          <w:rFonts w:ascii="Times New Roman" w:hAnsi="Times New Roman" w:cs="Times New Roman"/>
          <w:lang w:val="en-US"/>
        </w:rPr>
        <w:t xml:space="preserve"> </w:t>
      </w:r>
      <w:r w:rsidRPr="0069088C">
        <w:rPr>
          <w:rFonts w:ascii="Times New Roman" w:hAnsi="Times New Roman" w:cs="Times New Roman"/>
          <w:lang w:val="en-US"/>
        </w:rPr>
        <w:t>evaluated the interaction of curcumin PS with three different conventional antimicrobials, amoxicillin (AMO - β-lactam that inhibits cell wall synthesis)</w:t>
      </w:r>
      <w:r w:rsidRPr="0069088C">
        <w:rPr>
          <w:rFonts w:ascii="Times New Roman" w:hAnsi="Times New Roman" w:cs="Times New Roman"/>
          <w:lang w:val="en-US"/>
        </w:rPr>
        <w:fldChar w:fldCharType="begin" w:fldLock="1"/>
      </w:r>
      <w:r w:rsidRPr="0069088C">
        <w:rPr>
          <w:rFonts w:ascii="Times New Roman" w:hAnsi="Times New Roman" w:cs="Times New Roman"/>
          <w:lang w:val="en-US"/>
        </w:rPr>
        <w:instrText>ADDIN CSL_CITATION {"citationItems":[{"id":"ITEM-1","itemData":{"DOI":"10.1016/B978-0-444-53717-1.01237-3","author":[{"dropping-particle":"","family":"Elsevier","given":"","non-dropping-particle":"","parse-names":false,"suffix":""}],"id":"ITEM-1","issued":{"date-parts":[["2016"]]},"title":"Penicillins Comparative studies Penicillins versus carbapenems Penicillins versus monobactams","type":"article-journal"},"uris":["http://www.mendeley.com/documents/?uuid=e4c57a43-f4fe-4b6a-b5ec-972d30701b5f"]}],"mendeley":{"formattedCitation":"&lt;sup&gt;12&lt;/sup&gt;","plainTextFormattedCitation":"12","previouslyFormattedCitation":"&lt;sup&gt;12&lt;/sup&gt;"},"properties":{"noteIndex":0},"schema":"https://github.com/citation-style-language/schema/raw/master/csl-citation.json"}</w:instrText>
      </w:r>
      <w:r w:rsidRPr="0069088C">
        <w:rPr>
          <w:rFonts w:ascii="Times New Roman" w:hAnsi="Times New Roman" w:cs="Times New Roman"/>
          <w:lang w:val="en-US"/>
        </w:rPr>
        <w:fldChar w:fldCharType="separate"/>
      </w:r>
      <w:r w:rsidRPr="0069088C">
        <w:rPr>
          <w:rFonts w:ascii="Times New Roman" w:hAnsi="Times New Roman" w:cs="Times New Roman"/>
          <w:noProof/>
          <w:vertAlign w:val="superscript"/>
          <w:lang w:val="en-US"/>
        </w:rPr>
        <w:t>12</w:t>
      </w:r>
      <w:r w:rsidRPr="0069088C">
        <w:rPr>
          <w:rFonts w:ascii="Times New Roman" w:hAnsi="Times New Roman" w:cs="Times New Roman"/>
          <w:lang w:val="en-US"/>
        </w:rPr>
        <w:fldChar w:fldCharType="end"/>
      </w:r>
      <w:r w:rsidRPr="0069088C">
        <w:rPr>
          <w:rFonts w:ascii="Times New Roman" w:hAnsi="Times New Roman" w:cs="Times New Roman"/>
          <w:lang w:val="en-US"/>
        </w:rPr>
        <w:t>, erythromycin (ERY- macrolide) and gentamicin (GEN - aminoglycosides) which inhibit protein synthesis by acting on the 50S and 30S subunits of the ribosome, respectively</w:t>
      </w:r>
      <w:r w:rsidRPr="0069088C">
        <w:rPr>
          <w:rFonts w:ascii="Times New Roman" w:hAnsi="Times New Roman" w:cs="Times New Roman"/>
          <w:lang w:val="en-US"/>
        </w:rPr>
        <w:fldChar w:fldCharType="begin" w:fldLock="1"/>
      </w:r>
      <w:r w:rsidRPr="0069088C">
        <w:rPr>
          <w:rFonts w:ascii="Times New Roman" w:hAnsi="Times New Roman" w:cs="Times New Roman"/>
          <w:lang w:val="en-US"/>
        </w:rPr>
        <w:instrText>ADDIN CSL_CITATION {"citationItems":[{"id":"ITEM-1","itemData":{"DOI":"10.1016/S0301-4770(08)60952-5","ISSN":"03014770","abstract":"The structure elucidation of erythromycin was mainly because of the effort of the Eli Lilly research team during the mid-fifties. The 14 membered lactone aglycone was called erythronolide, while the dimethylaminodeoxy sugar was named desosamine and the neutral sugar cladinose. The principal use of erythromycin is in group A betahemolytic streptococcal, staphylococcal, and pneumococcal infections. It is also active against many atypical mycobacteria. Otherwise, erythromycin preparations are most useful as penicillin substitutes in individuals with streptococcal or pneumococcal infections who are hypersensitive to penicillin. For analytical purposes during the early period of studies on erythromycin paper chromatography was frequently employed for separation of radio-labeled erythromycins, and in particular, for bio autography. The lane numbers were transposed to a point 6.35 cm from the upper end of the cut chromatogram. The second step of development of the chromatogram was carried out again in descending arrangement with a solvent system No. 2 prepared by dissolving 12. 5 g of ammonium chloride and 35 g of sodium chloride in 100 ml of distilled water and by adding 25ml of dioxane and 12.5 ml of methyl ethyl ketone. © 1978, Elsevier Inc. All rights reserved.","author":[{"dropping-particle":"","family":"Majer","given":"Jaroslav","non-dropping-particle":"","parse-names":false,"suffix":""}],"container-title":"Journal of Chromatography Library","id":"ITEM-1","issue":"C","issued":{"date-parts":[["1978"]]},"page":"273-308","title":"Macrolide Antibiotics","type":"chapter","volume":"15"},"uris":["http://www.mendeley.com/documents/?uuid=a6c1dfcb-2589-4eb1-a6c2-9e116987439d"]},{"id":"ITEM-2","itemData":{"DOI":"10.1016/B978-0-444-53717-1.00270-5","author":[{"dropping-particle":"","family":"Studies","given":"Drug","non-dropping-particle":"","parse-names":false,"suffix":""},{"dropping-particle":"","family":"Information","given":"General","non-dropping-particle":"","parse-names":false,"suffix":""}],"id":"ITEM-2","issued":{"date-parts":[["2016"]]},"title":"Aminoglycoside antibiotics Observational studies and reactions Neuromuscular function","type":"article-journal"},"uris":["http://www.mendeley.com/documents/?uuid=ec68f0bb-dd6b-400b-bc53-27973d70c170"]}],"mendeley":{"formattedCitation":"&lt;sup&gt;13,14&lt;/sup&gt;","plainTextFormattedCitation":"13,14","previouslyFormattedCitation":"&lt;sup&gt;13,14&lt;/sup&gt;"},"properties":{"noteIndex":0},"schema":"https://github.com/citation-style-language/schema/raw/master/csl-citation.json"}</w:instrText>
      </w:r>
      <w:r w:rsidRPr="0069088C">
        <w:rPr>
          <w:rFonts w:ascii="Times New Roman" w:hAnsi="Times New Roman" w:cs="Times New Roman"/>
          <w:lang w:val="en-US"/>
        </w:rPr>
        <w:fldChar w:fldCharType="separate"/>
      </w:r>
      <w:r w:rsidRPr="0069088C">
        <w:rPr>
          <w:rFonts w:ascii="Times New Roman" w:hAnsi="Times New Roman" w:cs="Times New Roman"/>
          <w:noProof/>
          <w:vertAlign w:val="superscript"/>
          <w:lang w:val="en-US"/>
        </w:rPr>
        <w:t>13,14</w:t>
      </w:r>
      <w:r w:rsidRPr="0069088C">
        <w:rPr>
          <w:rFonts w:ascii="Times New Roman" w:hAnsi="Times New Roman" w:cs="Times New Roman"/>
          <w:lang w:val="en-US"/>
        </w:rPr>
        <w:fldChar w:fldCharType="end"/>
      </w:r>
      <w:r w:rsidRPr="0069088C">
        <w:rPr>
          <w:rFonts w:ascii="Times New Roman" w:hAnsi="Times New Roman" w:cs="Times New Roman"/>
          <w:lang w:val="en-US"/>
        </w:rPr>
        <w:t xml:space="preserve">. We propose to observe how different combination protocols can affect the interaction between antimicrobial molecules and PS </w:t>
      </w:r>
      <w:r w:rsidR="00FC75D5" w:rsidRPr="0069088C">
        <w:rPr>
          <w:rFonts w:ascii="Times New Roman" w:hAnsi="Times New Roman" w:cs="Times New Roman"/>
          <w:lang w:val="en-US"/>
        </w:rPr>
        <w:t>on</w:t>
      </w:r>
      <w:r w:rsidRPr="0069088C">
        <w:rPr>
          <w:rFonts w:ascii="Times New Roman" w:hAnsi="Times New Roman" w:cs="Times New Roman"/>
          <w:lang w:val="en-US"/>
        </w:rPr>
        <w:t xml:space="preserve"> </w:t>
      </w:r>
      <w:r w:rsidRPr="0069088C">
        <w:rPr>
          <w:rFonts w:ascii="Times New Roman" w:hAnsi="Times New Roman" w:cs="Times New Roman"/>
          <w:i/>
          <w:lang w:val="en-US"/>
        </w:rPr>
        <w:t>Staphylococcus aureus</w:t>
      </w:r>
      <w:r w:rsidR="00FC75D5" w:rsidRPr="0069088C">
        <w:rPr>
          <w:rFonts w:ascii="Times New Roman" w:hAnsi="Times New Roman" w:cs="Times New Roman"/>
          <w:lang w:val="en-US"/>
        </w:rPr>
        <w:t xml:space="preserve">. And </w:t>
      </w:r>
      <w:r w:rsidR="009E1025" w:rsidRPr="0069088C">
        <w:rPr>
          <w:rFonts w:ascii="Times New Roman" w:hAnsi="Times New Roman" w:cs="Times New Roman"/>
          <w:lang w:val="en-US"/>
        </w:rPr>
        <w:t>thus,</w:t>
      </w:r>
      <w:r w:rsidR="00FC75D5" w:rsidRPr="0069088C">
        <w:rPr>
          <w:rFonts w:ascii="Times New Roman" w:hAnsi="Times New Roman" w:cs="Times New Roman"/>
          <w:lang w:val="en-US"/>
        </w:rPr>
        <w:t xml:space="preserve"> seek </w:t>
      </w:r>
      <w:r w:rsidR="009E1025" w:rsidRPr="0069088C">
        <w:rPr>
          <w:rFonts w:ascii="Times New Roman" w:hAnsi="Times New Roman" w:cs="Times New Roman"/>
          <w:lang w:val="en-US"/>
        </w:rPr>
        <w:t xml:space="preserve">consistent </w:t>
      </w:r>
      <w:r w:rsidR="00FC75D5" w:rsidRPr="0069088C">
        <w:rPr>
          <w:rFonts w:ascii="Times New Roman" w:hAnsi="Times New Roman" w:cs="Times New Roman"/>
          <w:lang w:val="en-US"/>
        </w:rPr>
        <w:t xml:space="preserve">results </w:t>
      </w:r>
      <w:r w:rsidR="009E1025" w:rsidRPr="0069088C">
        <w:rPr>
          <w:rFonts w:ascii="Times New Roman" w:hAnsi="Times New Roman" w:cs="Times New Roman"/>
          <w:lang w:val="en-US"/>
        </w:rPr>
        <w:t>which</w:t>
      </w:r>
      <w:r w:rsidR="00FC75D5" w:rsidRPr="0069088C">
        <w:rPr>
          <w:rFonts w:ascii="Times New Roman" w:hAnsi="Times New Roman" w:cs="Times New Roman"/>
          <w:lang w:val="en-US"/>
        </w:rPr>
        <w:t xml:space="preserve"> demonstrate the potential for clinical application of combined therapies</w:t>
      </w:r>
      <w:r w:rsidRPr="0069088C">
        <w:rPr>
          <w:rFonts w:ascii="Times New Roman" w:hAnsi="Times New Roman" w:cs="Times New Roman"/>
          <w:lang w:val="en-US"/>
        </w:rPr>
        <w:t>. The main long-term goal is to identify alternatives to make antibiotic-resistant bacteria returns to original properties of non-resistance.</w:t>
      </w:r>
      <w:r w:rsidR="007E1315" w:rsidRPr="0069088C">
        <w:rPr>
          <w:rFonts w:ascii="Times New Roman" w:hAnsi="Times New Roman" w:cs="Times New Roman"/>
          <w:lang w:val="en-US"/>
        </w:rPr>
        <w:t xml:space="preserve"> Thus, PDI can be an adjunct to antibiotic therapy, prolonging the use of antibiotics available on the market.</w:t>
      </w:r>
    </w:p>
    <w:p w14:paraId="2D5D5E8C" w14:textId="77777777" w:rsidR="007D765F" w:rsidRPr="0069088C" w:rsidRDefault="007D765F" w:rsidP="00E12656">
      <w:pPr>
        <w:rPr>
          <w:rFonts w:ascii="Times New Roman" w:hAnsi="Times New Roman" w:cs="Times New Roman"/>
          <w:b/>
          <w:bCs/>
          <w:lang w:val="en-US"/>
        </w:rPr>
      </w:pPr>
    </w:p>
    <w:p w14:paraId="143152F7" w14:textId="5595A38F" w:rsidR="00E12656" w:rsidRPr="0069088C" w:rsidRDefault="00E12656" w:rsidP="00C6291C">
      <w:pPr>
        <w:pStyle w:val="PargrafodaLista"/>
        <w:numPr>
          <w:ilvl w:val="0"/>
          <w:numId w:val="1"/>
        </w:numPr>
        <w:rPr>
          <w:rFonts w:ascii="Times New Roman" w:hAnsi="Times New Roman" w:cs="Times New Roman"/>
          <w:b/>
          <w:bCs/>
          <w:lang w:val="en-US"/>
        </w:rPr>
      </w:pPr>
      <w:r w:rsidRPr="0069088C">
        <w:rPr>
          <w:rFonts w:ascii="Times New Roman" w:hAnsi="Times New Roman" w:cs="Times New Roman"/>
          <w:b/>
          <w:bCs/>
          <w:lang w:val="en-US"/>
        </w:rPr>
        <w:t>METHODOLOGY</w:t>
      </w:r>
    </w:p>
    <w:p w14:paraId="3CAFD6C4" w14:textId="77777777" w:rsidR="00E12656" w:rsidRPr="0069088C" w:rsidRDefault="00E12656" w:rsidP="00E12656">
      <w:pPr>
        <w:rPr>
          <w:rFonts w:ascii="Times New Roman" w:hAnsi="Times New Roman" w:cs="Times New Roman"/>
          <w:lang w:val="en-US"/>
        </w:rPr>
      </w:pPr>
    </w:p>
    <w:p w14:paraId="434898BC" w14:textId="5A38F2BC" w:rsidR="00E12656" w:rsidRPr="0069088C" w:rsidRDefault="00882835" w:rsidP="00E12656">
      <w:pPr>
        <w:rPr>
          <w:rFonts w:ascii="Times New Roman" w:hAnsi="Times New Roman" w:cs="Times New Roman"/>
          <w:i/>
          <w:iCs/>
          <w:lang w:val="en-US"/>
        </w:rPr>
      </w:pPr>
      <w:r w:rsidRPr="0069088C">
        <w:rPr>
          <w:rFonts w:ascii="Times New Roman" w:hAnsi="Times New Roman" w:cs="Times New Roman"/>
          <w:i/>
          <w:iCs/>
          <w:lang w:val="en-US"/>
        </w:rPr>
        <w:t xml:space="preserve">2.1 </w:t>
      </w:r>
      <w:r w:rsidR="00E12656" w:rsidRPr="0069088C">
        <w:rPr>
          <w:rFonts w:ascii="Times New Roman" w:hAnsi="Times New Roman" w:cs="Times New Roman"/>
          <w:i/>
          <w:iCs/>
          <w:lang w:val="en-US"/>
        </w:rPr>
        <w:t>MICRO-ORGANISM CULTIVATION</w:t>
      </w:r>
    </w:p>
    <w:p w14:paraId="53183751" w14:textId="4E8170AB" w:rsidR="00E12656" w:rsidRPr="0069088C" w:rsidRDefault="00E12656" w:rsidP="00E12656">
      <w:pPr>
        <w:rPr>
          <w:rFonts w:ascii="Times New Roman" w:hAnsi="Times New Roman" w:cs="Times New Roman"/>
          <w:lang w:val="en-US"/>
        </w:rPr>
      </w:pPr>
      <w:r w:rsidRPr="0069088C">
        <w:rPr>
          <w:rFonts w:ascii="Times New Roman" w:hAnsi="Times New Roman" w:cs="Times New Roman"/>
          <w:lang w:val="en-US"/>
        </w:rPr>
        <w:t xml:space="preserve">The </w:t>
      </w:r>
      <w:r w:rsidRPr="0069088C">
        <w:rPr>
          <w:rFonts w:ascii="Times New Roman" w:hAnsi="Times New Roman" w:cs="Times New Roman"/>
          <w:i/>
          <w:lang w:val="en-US"/>
        </w:rPr>
        <w:t>Staphylococcus aureus</w:t>
      </w:r>
      <w:r w:rsidRPr="0069088C">
        <w:rPr>
          <w:rFonts w:ascii="Times New Roman" w:hAnsi="Times New Roman" w:cs="Times New Roman"/>
          <w:lang w:val="en-US"/>
        </w:rPr>
        <w:t xml:space="preserve"> (ATCC 25923) was cultivated in Brain Heart Infusion Agar (BHI) for 24 h. Colonies were suspended in phosphate buffered saline (PBS) for </w:t>
      </w:r>
      <w:r w:rsidR="009A6C15" w:rsidRPr="0069088C">
        <w:rPr>
          <w:rFonts w:ascii="Times New Roman" w:hAnsi="Times New Roman" w:cs="Times New Roman"/>
          <w:lang w:val="en-US"/>
        </w:rPr>
        <w:t>PDI</w:t>
      </w:r>
      <w:r w:rsidR="00DE4F3F" w:rsidRPr="0069088C">
        <w:rPr>
          <w:rFonts w:ascii="Times New Roman" w:hAnsi="Times New Roman" w:cs="Times New Roman"/>
          <w:lang w:val="en-US"/>
        </w:rPr>
        <w:t xml:space="preserve"> in</w:t>
      </w:r>
      <w:r w:rsidRPr="0069088C">
        <w:rPr>
          <w:rFonts w:ascii="Times New Roman" w:hAnsi="Times New Roman" w:cs="Times New Roman"/>
          <w:lang w:val="en-US"/>
        </w:rPr>
        <w:t xml:space="preserve"> antibiotic-containing treatments</w:t>
      </w:r>
      <w:r w:rsidR="006240E3" w:rsidRPr="0069088C">
        <w:rPr>
          <w:rFonts w:ascii="Times New Roman" w:hAnsi="Times New Roman" w:cs="Times New Roman"/>
          <w:lang w:val="en-US"/>
        </w:rPr>
        <w:t>, and</w:t>
      </w:r>
      <w:r w:rsidRPr="0069088C">
        <w:rPr>
          <w:rFonts w:ascii="Times New Roman" w:hAnsi="Times New Roman" w:cs="Times New Roman"/>
          <w:lang w:val="en-US"/>
        </w:rPr>
        <w:t xml:space="preserve"> were suspended in Mueller Hinton (MH) medium. The inoculum was adjusted to 10</w:t>
      </w:r>
      <w:r w:rsidRPr="0069088C">
        <w:rPr>
          <w:rFonts w:ascii="Times New Roman" w:hAnsi="Times New Roman" w:cs="Times New Roman"/>
          <w:vertAlign w:val="superscript"/>
          <w:lang w:val="en-US"/>
        </w:rPr>
        <w:t>8</w:t>
      </w:r>
      <w:r w:rsidRPr="0069088C">
        <w:rPr>
          <w:rFonts w:ascii="Times New Roman" w:hAnsi="Times New Roman" w:cs="Times New Roman"/>
          <w:lang w:val="en-US"/>
        </w:rPr>
        <w:t xml:space="preserve"> CFU/ml at 600 nm (Cary UV-Vis50, Varian)</w:t>
      </w:r>
      <w:r w:rsidR="00B33CD1" w:rsidRPr="0069088C">
        <w:rPr>
          <w:rFonts w:ascii="Times New Roman" w:hAnsi="Times New Roman" w:cs="Times New Roman"/>
          <w:lang w:val="en-US"/>
        </w:rPr>
        <w:t xml:space="preserve"> </w:t>
      </w:r>
      <w:r w:rsidR="006240E3" w:rsidRPr="0069088C">
        <w:rPr>
          <w:rFonts w:ascii="Times New Roman" w:hAnsi="Times New Roman" w:cs="Times New Roman"/>
          <w:lang w:val="en-US"/>
        </w:rPr>
        <w:t xml:space="preserve">and </w:t>
      </w:r>
      <w:r w:rsidR="00B33CD1" w:rsidRPr="0069088C">
        <w:rPr>
          <w:rFonts w:ascii="Times New Roman" w:hAnsi="Times New Roman" w:cs="Times New Roman"/>
          <w:lang w:val="en-US"/>
        </w:rPr>
        <w:t>was inoculated into confocal dishes for 24h at 37°C in BHI medium</w:t>
      </w:r>
      <w:r w:rsidR="006240E3" w:rsidRPr="0069088C">
        <w:rPr>
          <w:rFonts w:ascii="Times New Roman" w:hAnsi="Times New Roman" w:cs="Times New Roman"/>
          <w:lang w:val="en-US"/>
        </w:rPr>
        <w:t xml:space="preserve"> to obtain the confocal microscopy images</w:t>
      </w:r>
      <w:r w:rsidR="00B33CD1" w:rsidRPr="0069088C">
        <w:rPr>
          <w:rFonts w:ascii="Times New Roman" w:hAnsi="Times New Roman" w:cs="Times New Roman"/>
          <w:lang w:val="en-US"/>
        </w:rPr>
        <w:t>.</w:t>
      </w:r>
    </w:p>
    <w:p w14:paraId="0B215B8B" w14:textId="0D424ABF" w:rsidR="003F7704" w:rsidRPr="0069088C" w:rsidRDefault="003F7704" w:rsidP="00E12656">
      <w:pPr>
        <w:rPr>
          <w:rFonts w:ascii="Times New Roman" w:hAnsi="Times New Roman" w:cs="Times New Roman"/>
          <w:lang w:val="en-US"/>
        </w:rPr>
      </w:pPr>
    </w:p>
    <w:p w14:paraId="630F0227" w14:textId="55C50CC2" w:rsidR="00E12656" w:rsidRPr="0069088C" w:rsidRDefault="00882835" w:rsidP="00E12656">
      <w:pPr>
        <w:rPr>
          <w:rFonts w:ascii="Times New Roman" w:hAnsi="Times New Roman" w:cs="Times New Roman"/>
          <w:i/>
          <w:iCs/>
          <w:lang w:val="en-US"/>
        </w:rPr>
      </w:pPr>
      <w:r w:rsidRPr="0069088C">
        <w:rPr>
          <w:rFonts w:ascii="Times New Roman" w:hAnsi="Times New Roman" w:cs="Times New Roman"/>
          <w:i/>
          <w:iCs/>
          <w:lang w:val="en-US"/>
        </w:rPr>
        <w:t xml:space="preserve">2.2 </w:t>
      </w:r>
      <w:r w:rsidR="00E12656" w:rsidRPr="0069088C">
        <w:rPr>
          <w:rFonts w:ascii="Times New Roman" w:hAnsi="Times New Roman" w:cs="Times New Roman"/>
          <w:i/>
          <w:iCs/>
          <w:lang w:val="en-US"/>
        </w:rPr>
        <w:t>PHOTODYNAMIC INACTIVATION</w:t>
      </w:r>
    </w:p>
    <w:p w14:paraId="51D2894E" w14:textId="476BDE3C" w:rsidR="00E12656" w:rsidRPr="0069088C" w:rsidRDefault="00E12656" w:rsidP="00E12656">
      <w:pPr>
        <w:rPr>
          <w:rFonts w:ascii="Times New Roman" w:hAnsi="Times New Roman" w:cs="Times New Roman"/>
          <w:lang w:val="en-US"/>
        </w:rPr>
      </w:pPr>
      <w:r w:rsidRPr="0069088C">
        <w:rPr>
          <w:rFonts w:ascii="Times New Roman" w:hAnsi="Times New Roman" w:cs="Times New Roman"/>
          <w:lang w:val="en-US"/>
        </w:rPr>
        <w:lastRenderedPageBreak/>
        <w:t xml:space="preserve">The stock solution of the </w:t>
      </w:r>
      <w:r w:rsidR="00786C7E" w:rsidRPr="0069088C">
        <w:rPr>
          <w:rFonts w:ascii="Times New Roman" w:hAnsi="Times New Roman" w:cs="Times New Roman"/>
          <w:lang w:val="en-US"/>
        </w:rPr>
        <w:t>PS</w:t>
      </w:r>
      <w:r w:rsidR="009A6C15" w:rsidRPr="0069088C">
        <w:rPr>
          <w:rFonts w:ascii="Times New Roman" w:hAnsi="Times New Roman" w:cs="Times New Roman"/>
          <w:lang w:val="en-US"/>
        </w:rPr>
        <w:t>:</w:t>
      </w:r>
      <w:r w:rsidRPr="0069088C">
        <w:rPr>
          <w:rFonts w:ascii="Times New Roman" w:hAnsi="Times New Roman" w:cs="Times New Roman"/>
          <w:lang w:val="en-US"/>
        </w:rPr>
        <w:t xml:space="preserve"> synthetic curcumin (PDTPharma®) was prepared in 5 mM ethyl alcohol and diluted in distilled water at the concentrations of interest. Three control groups were performed: General Control (bacteria), Dark Control (bacteria + </w:t>
      </w:r>
      <w:r w:rsidR="009A6C15" w:rsidRPr="0069088C">
        <w:rPr>
          <w:rFonts w:ascii="Times New Roman" w:hAnsi="Times New Roman" w:cs="Times New Roman"/>
          <w:lang w:val="en-US"/>
        </w:rPr>
        <w:t>P</w:t>
      </w:r>
      <w:r w:rsidRPr="0069088C">
        <w:rPr>
          <w:rFonts w:ascii="Times New Roman" w:hAnsi="Times New Roman" w:cs="Times New Roman"/>
          <w:lang w:val="en-US"/>
        </w:rPr>
        <w:t xml:space="preserve">S), Light Control (bacteria plus light) and the </w:t>
      </w:r>
      <w:r w:rsidR="009A6C15" w:rsidRPr="0069088C">
        <w:rPr>
          <w:rFonts w:ascii="Times New Roman" w:hAnsi="Times New Roman" w:cs="Times New Roman"/>
          <w:lang w:val="en-US"/>
        </w:rPr>
        <w:t>PDI</w:t>
      </w:r>
      <w:r w:rsidRPr="0069088C">
        <w:rPr>
          <w:rFonts w:ascii="Times New Roman" w:hAnsi="Times New Roman" w:cs="Times New Roman"/>
          <w:lang w:val="en-US"/>
        </w:rPr>
        <w:t xml:space="preserve"> treatment group (bacteria + </w:t>
      </w:r>
      <w:r w:rsidR="009A6C15" w:rsidRPr="0069088C">
        <w:rPr>
          <w:rFonts w:ascii="Times New Roman" w:hAnsi="Times New Roman" w:cs="Times New Roman"/>
          <w:lang w:val="en-US"/>
        </w:rPr>
        <w:t>P</w:t>
      </w:r>
      <w:r w:rsidRPr="0069088C">
        <w:rPr>
          <w:rFonts w:ascii="Times New Roman" w:hAnsi="Times New Roman" w:cs="Times New Roman"/>
          <w:lang w:val="en-US"/>
        </w:rPr>
        <w:t xml:space="preserve">S + light). For the </w:t>
      </w:r>
      <w:r w:rsidR="009A6C15" w:rsidRPr="0069088C">
        <w:rPr>
          <w:rFonts w:ascii="Times New Roman" w:hAnsi="Times New Roman" w:cs="Times New Roman"/>
          <w:lang w:val="en-US"/>
        </w:rPr>
        <w:t>PDI</w:t>
      </w:r>
      <w:r w:rsidRPr="0069088C">
        <w:rPr>
          <w:rFonts w:ascii="Times New Roman" w:hAnsi="Times New Roman" w:cs="Times New Roman"/>
          <w:lang w:val="en-US"/>
        </w:rPr>
        <w:t xml:space="preserve"> and dark groups, the bacteria were incubated with 10 </w:t>
      </w:r>
      <w:r w:rsidRPr="0069088C">
        <w:rPr>
          <w:rFonts w:ascii="Times New Roman" w:hAnsi="Times New Roman" w:cs="Times New Roman"/>
        </w:rPr>
        <w:t>μ</w:t>
      </w:r>
      <w:r w:rsidRPr="0069088C">
        <w:rPr>
          <w:rFonts w:ascii="Times New Roman" w:hAnsi="Times New Roman" w:cs="Times New Roman"/>
          <w:lang w:val="en-US"/>
        </w:rPr>
        <w:t xml:space="preserve">M of curcumin for 15 min. Subsequently, the light and </w:t>
      </w:r>
      <w:r w:rsidR="009A6C15" w:rsidRPr="0069088C">
        <w:rPr>
          <w:rFonts w:ascii="Times New Roman" w:hAnsi="Times New Roman" w:cs="Times New Roman"/>
          <w:lang w:val="en-US"/>
        </w:rPr>
        <w:t>PDI</w:t>
      </w:r>
      <w:r w:rsidRPr="0069088C">
        <w:rPr>
          <w:rFonts w:ascii="Times New Roman" w:hAnsi="Times New Roman" w:cs="Times New Roman"/>
          <w:lang w:val="en-US"/>
        </w:rPr>
        <w:t xml:space="preserve"> groups were submitted to a light dose in the range of 5 to 80 J/cm² using the 450 nm LED device (Biotable®</w:t>
      </w:r>
      <w:r w:rsidR="009A6C15" w:rsidRPr="0069088C">
        <w:rPr>
          <w:rFonts w:ascii="Times New Roman" w:hAnsi="Times New Roman" w:cs="Times New Roman"/>
          <w:lang w:val="en-US"/>
        </w:rPr>
        <w:t xml:space="preserve"> - produced by </w:t>
      </w:r>
      <w:r w:rsidR="0081354A" w:rsidRPr="0069088C">
        <w:rPr>
          <w:rFonts w:ascii="Times New Roman" w:hAnsi="Times New Roman" w:cs="Times New Roman"/>
          <w:lang w:val="en-US"/>
        </w:rPr>
        <w:t>MM Optics</w:t>
      </w:r>
      <w:r w:rsidR="009A6C15" w:rsidRPr="0069088C">
        <w:rPr>
          <w:rFonts w:ascii="Times New Roman" w:hAnsi="Times New Roman" w:cs="Times New Roman"/>
          <w:lang w:val="en-US"/>
        </w:rPr>
        <w:t xml:space="preserve"> - Brazil</w:t>
      </w:r>
      <w:r w:rsidRPr="0069088C">
        <w:rPr>
          <w:rFonts w:ascii="Times New Roman" w:hAnsi="Times New Roman" w:cs="Times New Roman"/>
          <w:lang w:val="en-US"/>
        </w:rPr>
        <w:t>). The samples were seeded in Petri dishes to count the surviving colony forming units per milliliter (CFU/ml).</w:t>
      </w:r>
    </w:p>
    <w:p w14:paraId="46E34B57" w14:textId="77777777" w:rsidR="00582929" w:rsidRPr="0069088C" w:rsidRDefault="00582929" w:rsidP="00E12656">
      <w:pPr>
        <w:rPr>
          <w:rFonts w:ascii="Times New Roman" w:hAnsi="Times New Roman" w:cs="Times New Roman"/>
          <w:lang w:val="en-US"/>
        </w:rPr>
      </w:pPr>
    </w:p>
    <w:p w14:paraId="14EA47D6" w14:textId="03874EFD" w:rsidR="00E12656" w:rsidRPr="0069088C" w:rsidRDefault="00882835" w:rsidP="00E12656">
      <w:pPr>
        <w:rPr>
          <w:rFonts w:ascii="Times New Roman" w:hAnsi="Times New Roman" w:cs="Times New Roman"/>
          <w:i/>
          <w:iCs/>
          <w:lang w:val="en-US"/>
        </w:rPr>
      </w:pPr>
      <w:r w:rsidRPr="0069088C">
        <w:rPr>
          <w:rFonts w:ascii="Times New Roman" w:hAnsi="Times New Roman" w:cs="Times New Roman"/>
          <w:i/>
          <w:iCs/>
          <w:lang w:val="en-US"/>
        </w:rPr>
        <w:t xml:space="preserve">2.3 </w:t>
      </w:r>
      <w:r w:rsidR="00E12656" w:rsidRPr="0069088C">
        <w:rPr>
          <w:rFonts w:ascii="Times New Roman" w:hAnsi="Times New Roman" w:cs="Times New Roman"/>
          <w:i/>
          <w:iCs/>
          <w:lang w:val="en-US"/>
        </w:rPr>
        <w:t>MINIMUM INHIBITORY CONCENTRATION</w:t>
      </w:r>
    </w:p>
    <w:p w14:paraId="5AD764F1" w14:textId="3FED7DE9" w:rsidR="000D187B" w:rsidRPr="0069088C" w:rsidRDefault="00E12656" w:rsidP="008800ED">
      <w:pPr>
        <w:rPr>
          <w:rFonts w:ascii="Times New Roman" w:hAnsi="Times New Roman" w:cs="Times New Roman"/>
          <w:lang w:val="en-US"/>
        </w:rPr>
      </w:pPr>
      <w:r w:rsidRPr="0069088C">
        <w:rPr>
          <w:rFonts w:ascii="Times New Roman" w:hAnsi="Times New Roman" w:cs="Times New Roman"/>
          <w:lang w:val="en-US"/>
        </w:rPr>
        <w:t>The experiments were performed according to the recommendation of the Clinical and Laboratory Standards Institute (CLSI)</w:t>
      </w:r>
      <w:r w:rsidR="008A6656" w:rsidRPr="0069088C">
        <w:rPr>
          <w:rFonts w:ascii="Times New Roman" w:hAnsi="Times New Roman" w:cs="Times New Roman"/>
          <w:lang w:val="en-US"/>
        </w:rPr>
        <w:t xml:space="preserve"> </w:t>
      </w:r>
      <w:r w:rsidR="00855DDB" w:rsidRPr="0069088C">
        <w:rPr>
          <w:rFonts w:ascii="Times New Roman" w:hAnsi="Times New Roman" w:cs="Times New Roman"/>
          <w:lang w:val="en-US"/>
        </w:rPr>
        <w:fldChar w:fldCharType="begin" w:fldLock="1"/>
      </w:r>
      <w:r w:rsidR="00855DDB" w:rsidRPr="0069088C">
        <w:rPr>
          <w:rFonts w:ascii="Times New Roman" w:hAnsi="Times New Roman" w:cs="Times New Roman"/>
          <w:lang w:val="en-US"/>
        </w:rPr>
        <w:instrText>ADDIN CSL_CITATION {"citationItems":[{"id":"ITEM-1","itemData":{"ISBN":"1562385569","abstract":"As informações complementares apresentadas no presente documento são indicadas para uso com os testes de sensibilidade antimicrobiana publicados nas normas, relacionadas a seguir, aprovadas pelo Clinical and Laboratory Standards Institute (CLSI)/NCCLS: M2-A8— Performance Standards for Antimicrobial Disk Susceptibility Tests; Approved Standard—Eighth Edition; e M7-A6—Methods for Dilution Antimicrobial Susceptibility Tests for Bacteria That Grow Aerobically; Approved Standard—Sixth Edition. As normas contêm informações para testes de sensibilidade por disco difusão (M2) e diluição (M7) de bactérias aeróbicas. Os clínicos dependem muito das informações fornecidas pelo laboratório de microbiologia clínica para o tratamento de pacientes gravemente enfermos. A importância clínica dos testes de sensibilidade antimicrobiana torna necessário que os mesmos sejam realizados sob condições ideais e que os laboratórios tenham capacidade para fornecer resultados sobre os mais novos agentes antimicrobianos. As informações tabulares neste documento constituem as informações mais atualizadas sobre seleção de drogas, interpretação de resultados e controle de qualidade usando as metodologias padrão nas normas M2 e M7. Essas novas tabelas deverão substituir as tabelas publicadas em anos anteriores. (As mudanças nas tabelas posteriores à edição anterior estão em negrito.)","author":[{"dropping-particle":"","family":"Clinical and Laboratory Standards Institute","given":"","non-dropping-particle":"","parse-names":false,"suffix":""}],"id":"ITEM-1","issue":"1","issued":{"date-parts":[["2005"]]},"number-of-pages":"177","title":"Performance Standards for Antimicrobial Susceptibility Testing; Fifteenth Informational Supplement","type":"book","volume":"25"},"uris":["http://www.mendeley.com/documents/?uuid=b7a51237-d8bf-44e5-8798-f4b419371ecd"]}],"mendeley":{"formattedCitation":"&lt;sup&gt;15&lt;/sup&gt;","plainTextFormattedCitation":"15","previouslyFormattedCitation":"&lt;sup&gt;15&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15</w:t>
      </w:r>
      <w:r w:rsidR="00855DDB" w:rsidRPr="0069088C">
        <w:rPr>
          <w:rFonts w:ascii="Times New Roman" w:hAnsi="Times New Roman" w:cs="Times New Roman"/>
          <w:lang w:val="en-US"/>
        </w:rPr>
        <w:fldChar w:fldCharType="end"/>
      </w:r>
      <w:r w:rsidR="008A6656" w:rsidRPr="0069088C">
        <w:rPr>
          <w:rFonts w:ascii="Times New Roman" w:hAnsi="Times New Roman" w:cs="Times New Roman"/>
          <w:lang w:val="en-US"/>
        </w:rPr>
        <w:t>.</w:t>
      </w:r>
      <w:r w:rsidRPr="0069088C">
        <w:rPr>
          <w:rFonts w:ascii="Times New Roman" w:hAnsi="Times New Roman" w:cs="Times New Roman"/>
          <w:lang w:val="en-US"/>
        </w:rPr>
        <w:t xml:space="preserve"> The antimicrobial </w:t>
      </w:r>
      <w:r w:rsidR="008A6656" w:rsidRPr="0069088C">
        <w:rPr>
          <w:rFonts w:ascii="Times New Roman" w:hAnsi="Times New Roman" w:cs="Times New Roman"/>
          <w:lang w:val="en-US"/>
        </w:rPr>
        <w:t>agent’s</w:t>
      </w:r>
      <w:r w:rsidRPr="0069088C">
        <w:rPr>
          <w:rFonts w:ascii="Times New Roman" w:hAnsi="Times New Roman" w:cs="Times New Roman"/>
          <w:lang w:val="en-US"/>
        </w:rPr>
        <w:t xml:space="preserve"> amox</w:t>
      </w:r>
      <w:r w:rsidR="007D765F" w:rsidRPr="0069088C">
        <w:rPr>
          <w:rFonts w:ascii="Times New Roman" w:hAnsi="Times New Roman" w:cs="Times New Roman"/>
          <w:lang w:val="en-US"/>
        </w:rPr>
        <w:t>icillin (AMO), erythromycin (ERY</w:t>
      </w:r>
      <w:r w:rsidRPr="0069088C">
        <w:rPr>
          <w:rFonts w:ascii="Times New Roman" w:hAnsi="Times New Roman" w:cs="Times New Roman"/>
          <w:lang w:val="en-US"/>
        </w:rPr>
        <w:t>) and gentamicin (GEN) were distributed in 96-well plates by means of sequential dilution and subsequently the bacterial inoculum with standardized concentration was added. A positive control of bacterial growth and a negative control of the culture medium were performed together, the plate was stored at 37 °C for 24 hours. Subsequently, the resazurin solution (0.002%) was added for 4 hours at 37 °C. The minimum inhibitory concentration (MIC) was defined as the lowest concentration of the antibiotic capable of inhibiting the visible growth of bacterial strains.</w:t>
      </w:r>
      <w:r w:rsidR="008A6656" w:rsidRPr="0069088C">
        <w:rPr>
          <w:rFonts w:ascii="Times New Roman" w:hAnsi="Times New Roman" w:cs="Times New Roman"/>
          <w:lang w:val="en-US"/>
        </w:rPr>
        <w:t xml:space="preserve"> </w:t>
      </w:r>
      <w:r w:rsidRPr="0069088C">
        <w:rPr>
          <w:rFonts w:ascii="Times New Roman" w:hAnsi="Times New Roman" w:cs="Times New Roman"/>
          <w:lang w:val="en-US"/>
        </w:rPr>
        <w:t xml:space="preserve">In the MIC study after </w:t>
      </w:r>
      <w:r w:rsidR="008A6656" w:rsidRPr="0069088C">
        <w:rPr>
          <w:rFonts w:ascii="Times New Roman" w:hAnsi="Times New Roman" w:cs="Times New Roman"/>
          <w:lang w:val="en-US"/>
        </w:rPr>
        <w:t>PDI</w:t>
      </w:r>
      <w:r w:rsidRPr="0069088C">
        <w:rPr>
          <w:rFonts w:ascii="Times New Roman" w:hAnsi="Times New Roman" w:cs="Times New Roman"/>
          <w:lang w:val="en-US"/>
        </w:rPr>
        <w:t>, the only change is the inoculum added which corresponds to the bacteria initially treated following the protocol described in</w:t>
      </w:r>
      <w:r w:rsidR="009A6C15" w:rsidRPr="0069088C">
        <w:rPr>
          <w:rFonts w:ascii="Times New Roman" w:hAnsi="Times New Roman" w:cs="Times New Roman"/>
          <w:lang w:val="en-US"/>
        </w:rPr>
        <w:t xml:space="preserve"> previous session</w:t>
      </w:r>
      <w:r w:rsidRPr="0069088C">
        <w:rPr>
          <w:rFonts w:ascii="Times New Roman" w:hAnsi="Times New Roman" w:cs="Times New Roman"/>
          <w:lang w:val="en-US"/>
        </w:rPr>
        <w:t>.</w:t>
      </w:r>
      <w:r w:rsidR="00C463D5" w:rsidRPr="0069088C">
        <w:rPr>
          <w:rFonts w:ascii="Times New Roman" w:hAnsi="Times New Roman" w:cs="Times New Roman"/>
          <w:lang w:val="en-US"/>
        </w:rPr>
        <w:t xml:space="preserve"> Conditions below the PDI dose threshold were used for the combination experiments, ensuring bacterial cell survival.</w:t>
      </w:r>
    </w:p>
    <w:p w14:paraId="057B8DF8" w14:textId="78EDF196" w:rsidR="008A6656" w:rsidRPr="0069088C" w:rsidRDefault="00882835" w:rsidP="008A6656">
      <w:pPr>
        <w:rPr>
          <w:rFonts w:ascii="Times New Roman" w:hAnsi="Times New Roman" w:cs="Times New Roman"/>
          <w:i/>
          <w:iCs/>
          <w:lang w:val="en-US"/>
        </w:rPr>
      </w:pPr>
      <w:r w:rsidRPr="0069088C">
        <w:rPr>
          <w:rFonts w:ascii="Times New Roman" w:hAnsi="Times New Roman" w:cs="Times New Roman"/>
          <w:i/>
          <w:iCs/>
          <w:lang w:val="en-US"/>
        </w:rPr>
        <w:t xml:space="preserve">2.4 </w:t>
      </w:r>
      <w:r w:rsidR="008A6656" w:rsidRPr="0069088C">
        <w:rPr>
          <w:rFonts w:ascii="Times New Roman" w:hAnsi="Times New Roman" w:cs="Times New Roman"/>
          <w:i/>
          <w:iCs/>
          <w:lang w:val="en-US"/>
        </w:rPr>
        <w:t>COMBINATION OF PHOTODYNAMIC INACTIVATION AND ANTIBIOTIC THERAPY</w:t>
      </w:r>
    </w:p>
    <w:p w14:paraId="187C8F7E" w14:textId="6E2F2AC1" w:rsidR="008A6656" w:rsidRPr="0069088C" w:rsidRDefault="008A6656" w:rsidP="008A6656">
      <w:pPr>
        <w:rPr>
          <w:rFonts w:ascii="Times New Roman" w:hAnsi="Times New Roman" w:cs="Times New Roman"/>
          <w:lang w:val="en-US"/>
        </w:rPr>
      </w:pPr>
      <w:r w:rsidRPr="0069088C">
        <w:rPr>
          <w:rFonts w:ascii="Times New Roman" w:hAnsi="Times New Roman" w:cs="Times New Roman"/>
          <w:i/>
          <w:iCs/>
          <w:lang w:val="en-US"/>
        </w:rPr>
        <w:t>Oxidative stress</w:t>
      </w:r>
      <w:r w:rsidR="00B5045F" w:rsidRPr="0069088C">
        <w:rPr>
          <w:rFonts w:ascii="Times New Roman" w:hAnsi="Times New Roman" w:cs="Times New Roman"/>
          <w:lang w:val="en-US"/>
        </w:rPr>
        <w:t xml:space="preserve"> - </w:t>
      </w:r>
      <w:r w:rsidRPr="0069088C">
        <w:rPr>
          <w:rFonts w:ascii="Times New Roman" w:hAnsi="Times New Roman" w:cs="Times New Roman"/>
          <w:lang w:val="en-US"/>
        </w:rPr>
        <w:t xml:space="preserve">The first treatment applied to </w:t>
      </w:r>
      <w:r w:rsidRPr="0069088C">
        <w:rPr>
          <w:rFonts w:ascii="Times New Roman" w:hAnsi="Times New Roman" w:cs="Times New Roman"/>
          <w:i/>
          <w:lang w:val="en-US"/>
        </w:rPr>
        <w:t>S.aureus</w:t>
      </w:r>
      <w:r w:rsidRPr="0069088C">
        <w:rPr>
          <w:rFonts w:ascii="Times New Roman" w:hAnsi="Times New Roman" w:cs="Times New Roman"/>
          <w:lang w:val="en-US"/>
        </w:rPr>
        <w:t xml:space="preserve"> followed the protocol described </w:t>
      </w:r>
      <w:r w:rsidR="00B5045F" w:rsidRPr="0069088C">
        <w:rPr>
          <w:rFonts w:ascii="Times New Roman" w:hAnsi="Times New Roman" w:cs="Times New Roman"/>
          <w:lang w:val="en-US"/>
        </w:rPr>
        <w:t>previously</w:t>
      </w:r>
      <w:r w:rsidRPr="0069088C">
        <w:rPr>
          <w:rFonts w:ascii="Times New Roman" w:hAnsi="Times New Roman" w:cs="Times New Roman"/>
          <w:lang w:val="en-US"/>
        </w:rPr>
        <w:t xml:space="preserve">. The bacteria were incubated in the presence of 10 </w:t>
      </w:r>
      <w:r w:rsidRPr="0069088C">
        <w:rPr>
          <w:rFonts w:ascii="Times New Roman" w:hAnsi="Times New Roman" w:cs="Times New Roman"/>
        </w:rPr>
        <w:t>μ</w:t>
      </w:r>
      <w:r w:rsidRPr="0069088C">
        <w:rPr>
          <w:rFonts w:ascii="Times New Roman" w:hAnsi="Times New Roman" w:cs="Times New Roman"/>
          <w:lang w:val="en-US"/>
        </w:rPr>
        <w:t xml:space="preserve">M of curcumin for 15 min and subsequently irradiated at 10 and 20 J/cm². Surviving bacterial cells were added to MH medium containing antibiotic AMO, </w:t>
      </w:r>
      <w:r w:rsidR="007D765F" w:rsidRPr="0069088C">
        <w:rPr>
          <w:rFonts w:ascii="Times New Roman" w:hAnsi="Times New Roman" w:cs="Times New Roman"/>
          <w:lang w:val="en-US"/>
        </w:rPr>
        <w:t>ERY</w:t>
      </w:r>
      <w:r w:rsidRPr="0069088C">
        <w:rPr>
          <w:rFonts w:ascii="Times New Roman" w:hAnsi="Times New Roman" w:cs="Times New Roman"/>
          <w:lang w:val="en-US"/>
        </w:rPr>
        <w:t>, GEN at different concentrations for 24 h at 37 °C. Subsequently, the samples were diluted and plated on BHI agar medium for colony counting after 24 h.</w:t>
      </w:r>
    </w:p>
    <w:p w14:paraId="093D2C32" w14:textId="0F9C395C" w:rsidR="008A6656" w:rsidRPr="0069088C" w:rsidRDefault="00C463D5" w:rsidP="008A6656">
      <w:pPr>
        <w:rPr>
          <w:rFonts w:ascii="Times New Roman" w:hAnsi="Times New Roman" w:cs="Times New Roman"/>
          <w:i/>
          <w:iCs/>
          <w:lang w:val="en-US"/>
        </w:rPr>
      </w:pPr>
      <w:r w:rsidRPr="0069088C">
        <w:rPr>
          <w:rFonts w:ascii="Times New Roman" w:hAnsi="Times New Roman" w:cs="Times New Roman"/>
          <w:i/>
          <w:iCs/>
          <w:lang w:val="en-US"/>
        </w:rPr>
        <w:lastRenderedPageBreak/>
        <w:t xml:space="preserve">Simultaneous </w:t>
      </w:r>
      <w:r w:rsidR="008A6656" w:rsidRPr="0069088C">
        <w:rPr>
          <w:rFonts w:ascii="Times New Roman" w:hAnsi="Times New Roman" w:cs="Times New Roman"/>
          <w:i/>
          <w:iCs/>
          <w:lang w:val="en-US"/>
        </w:rPr>
        <w:t>internalization</w:t>
      </w:r>
      <w:r w:rsidR="00B5045F" w:rsidRPr="0069088C">
        <w:rPr>
          <w:rFonts w:ascii="Times New Roman" w:hAnsi="Times New Roman" w:cs="Times New Roman"/>
          <w:i/>
          <w:iCs/>
          <w:lang w:val="en-US"/>
        </w:rPr>
        <w:t xml:space="preserve"> - </w:t>
      </w:r>
      <w:r w:rsidR="008A6656" w:rsidRPr="0069088C">
        <w:rPr>
          <w:rFonts w:ascii="Times New Roman" w:hAnsi="Times New Roman" w:cs="Times New Roman"/>
          <w:lang w:val="en-US"/>
        </w:rPr>
        <w:t xml:space="preserve">The bacterial inoculum was incubated at 37 °C in the presence of 10 </w:t>
      </w:r>
      <w:r w:rsidR="008A6656" w:rsidRPr="0069088C">
        <w:rPr>
          <w:rFonts w:ascii="Times New Roman" w:hAnsi="Times New Roman" w:cs="Times New Roman"/>
        </w:rPr>
        <w:t>μ</w:t>
      </w:r>
      <w:r w:rsidR="008A6656" w:rsidRPr="0069088C">
        <w:rPr>
          <w:rFonts w:ascii="Times New Roman" w:hAnsi="Times New Roman" w:cs="Times New Roman"/>
          <w:lang w:val="en-US"/>
        </w:rPr>
        <w:t>M of curcumin and different concentrations of antibiotic in MH for 15 min. Subsequently irradiated at 10 and 20 J/cm² and after 24h of incubation at 37 °C, the samples were diluted and plated on BHI agar medium for colony counting after 24 h.</w:t>
      </w:r>
    </w:p>
    <w:p w14:paraId="0AD5403A" w14:textId="249BCF61" w:rsidR="008A6656" w:rsidRPr="0069088C" w:rsidRDefault="00882835" w:rsidP="008A6656">
      <w:pPr>
        <w:rPr>
          <w:rFonts w:ascii="Times New Roman" w:hAnsi="Times New Roman" w:cs="Times New Roman"/>
          <w:i/>
          <w:iCs/>
          <w:lang w:val="en-US"/>
        </w:rPr>
      </w:pPr>
      <w:r w:rsidRPr="0069088C">
        <w:rPr>
          <w:rFonts w:ascii="Times New Roman" w:hAnsi="Times New Roman" w:cs="Times New Roman"/>
          <w:i/>
          <w:iCs/>
          <w:lang w:val="en-US"/>
        </w:rPr>
        <w:t xml:space="preserve">2.5 </w:t>
      </w:r>
      <w:r w:rsidR="008A6656" w:rsidRPr="0069088C">
        <w:rPr>
          <w:rFonts w:ascii="Times New Roman" w:hAnsi="Times New Roman" w:cs="Times New Roman"/>
          <w:i/>
          <w:iCs/>
          <w:lang w:val="en-US"/>
        </w:rPr>
        <w:t>PERMEABILITY OF THE CYTOPLASM MEMBRANE</w:t>
      </w:r>
    </w:p>
    <w:p w14:paraId="1D2DC16D" w14:textId="0247A7C2" w:rsidR="00B5045F" w:rsidRPr="0069088C" w:rsidRDefault="008A6656" w:rsidP="008A6656">
      <w:pPr>
        <w:rPr>
          <w:rFonts w:ascii="Times New Roman" w:hAnsi="Times New Roman" w:cs="Times New Roman"/>
          <w:lang w:val="en-US"/>
        </w:rPr>
      </w:pPr>
      <w:r w:rsidRPr="0069088C">
        <w:rPr>
          <w:rFonts w:ascii="Times New Roman" w:hAnsi="Times New Roman" w:cs="Times New Roman"/>
          <w:lang w:val="en-US"/>
        </w:rPr>
        <w:t xml:space="preserve">The protocol applied to evaluate the permeabilization of the cytoplasmic membrane by measuring the absorbance of extracellular genetic material was adapted from Siriwon et </w:t>
      </w:r>
      <w:r w:rsidR="00855DDB" w:rsidRPr="0069088C">
        <w:rPr>
          <w:rFonts w:ascii="Times New Roman" w:hAnsi="Times New Roman" w:cs="Times New Roman"/>
          <w:lang w:val="en-US"/>
        </w:rPr>
        <w:t xml:space="preserve">al </w:t>
      </w:r>
      <w:r w:rsidR="00855DDB" w:rsidRPr="0069088C">
        <w:rPr>
          <w:rFonts w:ascii="Times New Roman" w:hAnsi="Times New Roman" w:cs="Times New Roman"/>
          <w:lang w:val="en-US"/>
        </w:rPr>
        <w:fldChar w:fldCharType="begin" w:fldLock="1"/>
      </w:r>
      <w:r w:rsidR="00A40AFC" w:rsidRPr="0069088C">
        <w:rPr>
          <w:rFonts w:ascii="Times New Roman" w:hAnsi="Times New Roman" w:cs="Times New Roman"/>
          <w:lang w:val="en-US"/>
        </w:rPr>
        <w:instrText>ADDIN CSL_CITATION {"citationItems":[{"id":"ITEM-1","itemData":{"DOI":"10.1186/s40360-016-0083-8","ISSN":"20506511","PMID":"27491399","abstract":"Background: Staphylococcus epidermidis is one of the most multiple resistances to antibiotics in the recent years. Therefore, practically-prescribed antibiotics in the treatment of these strains are not effective. Plant-derived antibacterial is one of the most interesting sources of new therapeutics. The present study was to investigate antibacterial, synergy and modes of action of quercetin and amoxicillin against amoxicillin-resistant Staphylococcus epidermidis (ARSE). Methods: The MICs, checkerboard assay, viability curves, cytoplasmic membrane (CM) permeability, enzyme assay, transmission electron microscopy, confocal microscopy and FT-IR microspectroscopy measurement was performed. Results: The MICs of amoxicillin, penicillin, quercetin and kaempferol against all ARSE strains were 16, 200, 256-384 and &gt;1024 μg/mL respectively. Synergistic effects were exhibited on amoxicillin plus quercetin and penicillin plus kaempferol against these strains at FIC index 0.50 and &lt;0.38 respectively. The synergistic activity of quercetin plus amoxicillin was confirmed by the viable count. This combination increased CM permeability, caused marked morphological, peptidoglycan and cytoplasmic membrane damage, increased protein amide I and II, but decreased fatty acid in bacterial cells. The quercetin had an inhibitory activity against β-lactamase. Conclusions: So, these findings are the first report that quercetin has the synergistic effect with amoxicillin against ARSE via four modes of actions, inhibit peptidoglycan synthesis and β-lactamases activity, increase CM permeability and protein amide I and II but decrease fatty acid in bacterial cells. Of course, this flavonol has the dominant potential to develop a brand-new collateral phytochemical agent plus amoxicillin to treat ARSE. Future work should focus on the bioavailability, efficacy and toxicity in animal and human studies, as well as, the synergistic effect on blood and tissue should be evaluated and achieved.","author":[{"dropping-particle":"","family":"Siriwong","given":"Supatcharee","non-dropping-particle":"","parse-names":false,"suffix":""},{"dropping-particle":"","family":"Teethaisong","given":"Yothin","non-dropping-particle":"","parse-names":false,"suffix":""},{"dropping-particle":"","family":"Thumanu","given":"Kanjana","non-dropping-particle":"","parse-names":false,"suffix":""},{"dropping-particle":"","family":"Dunkhunthod","given":"Benjawan","non-dropping-particle":"","parse-names":false,"suffix":""},{"dropping-particle":"","family":"Eumkeb","given":"Griangsak","non-dropping-particle":"","parse-names":false,"suffix":""}],"container-title":"BMC Pharmacology and Toxicology","id":"ITEM-1","issue":"1","issued":{"date-parts":[["2016"]]},"page":"1-14","publisher":"BMC Pharmacology and Toxicology","title":"The synergy and mode of action of quercetin plus amoxicillin against amoxicillin-resistant Staphylococcus epidermidis","type":"article-journal","volume":"17"},"uris":["http://www.mendeley.com/documents/?uuid=4031abcf-36e3-4e5d-8e4a-8dd3934b2bc6"]}],"mendeley":{"formattedCitation":"&lt;sup&gt;16&lt;/sup&gt;","plainTextFormattedCitation":"16","previouslyFormattedCitation":"&lt;sup&gt;16&lt;/sup&gt;"},"properties":{"noteIndex":0},"schema":"https://github.com/citation-style-language/schema/raw/master/csl-citation.json"}</w:instrText>
      </w:r>
      <w:r w:rsidR="00855DDB" w:rsidRPr="0069088C">
        <w:rPr>
          <w:rFonts w:ascii="Times New Roman" w:hAnsi="Times New Roman" w:cs="Times New Roman"/>
          <w:lang w:val="en-US"/>
        </w:rPr>
        <w:fldChar w:fldCharType="separate"/>
      </w:r>
      <w:r w:rsidR="00855DDB" w:rsidRPr="0069088C">
        <w:rPr>
          <w:rFonts w:ascii="Times New Roman" w:hAnsi="Times New Roman" w:cs="Times New Roman"/>
          <w:noProof/>
          <w:vertAlign w:val="superscript"/>
          <w:lang w:val="en-US"/>
        </w:rPr>
        <w:t>16</w:t>
      </w:r>
      <w:r w:rsidR="00855DDB" w:rsidRPr="0069088C">
        <w:rPr>
          <w:rFonts w:ascii="Times New Roman" w:hAnsi="Times New Roman" w:cs="Times New Roman"/>
          <w:lang w:val="en-US"/>
        </w:rPr>
        <w:fldChar w:fldCharType="end"/>
      </w:r>
      <w:r w:rsidRPr="0069088C">
        <w:rPr>
          <w:rFonts w:ascii="Times New Roman" w:hAnsi="Times New Roman" w:cs="Times New Roman"/>
          <w:lang w:val="en-US"/>
        </w:rPr>
        <w:t xml:space="preserve">. The </w:t>
      </w:r>
      <w:r w:rsidRPr="0069088C">
        <w:rPr>
          <w:rFonts w:ascii="Times New Roman" w:hAnsi="Times New Roman" w:cs="Times New Roman"/>
          <w:i/>
          <w:lang w:val="en-US"/>
        </w:rPr>
        <w:t>S.aureus</w:t>
      </w:r>
      <w:r w:rsidRPr="0069088C">
        <w:rPr>
          <w:rFonts w:ascii="Times New Roman" w:hAnsi="Times New Roman" w:cs="Times New Roman"/>
          <w:lang w:val="en-US"/>
        </w:rPr>
        <w:t xml:space="preserve"> bacterium was submitted to the </w:t>
      </w:r>
      <w:r w:rsidR="00634D10" w:rsidRPr="0069088C">
        <w:rPr>
          <w:rFonts w:ascii="Times New Roman" w:hAnsi="Times New Roman" w:cs="Times New Roman"/>
          <w:lang w:val="en-US"/>
        </w:rPr>
        <w:t>PDI</w:t>
      </w:r>
      <w:r w:rsidRPr="0069088C">
        <w:rPr>
          <w:rFonts w:ascii="Times New Roman" w:hAnsi="Times New Roman" w:cs="Times New Roman"/>
          <w:lang w:val="en-US"/>
        </w:rPr>
        <w:t xml:space="preserve"> treatment described. After treatment, samples were collected and filtered through a sterile nitrate cellulose membrane (0.22 µm) and the absorbance of the supernatant was measured at 260 nm (Cary UV-Vis50, Varian).</w:t>
      </w:r>
    </w:p>
    <w:p w14:paraId="603FA3A6" w14:textId="086F8F6A" w:rsidR="00C6291C" w:rsidRPr="0069088C" w:rsidRDefault="00882835" w:rsidP="00C6291C">
      <w:pPr>
        <w:rPr>
          <w:rFonts w:ascii="Times New Roman" w:hAnsi="Times New Roman" w:cs="Times New Roman"/>
          <w:i/>
          <w:iCs/>
          <w:lang w:val="en-US"/>
        </w:rPr>
      </w:pPr>
      <w:r w:rsidRPr="0069088C">
        <w:rPr>
          <w:rFonts w:ascii="Times New Roman" w:hAnsi="Times New Roman" w:cs="Times New Roman"/>
          <w:i/>
          <w:iCs/>
          <w:lang w:val="en-US"/>
        </w:rPr>
        <w:t xml:space="preserve">2.6 </w:t>
      </w:r>
      <w:r w:rsidR="00C6291C" w:rsidRPr="0069088C">
        <w:rPr>
          <w:rFonts w:ascii="Times New Roman" w:hAnsi="Times New Roman" w:cs="Times New Roman"/>
          <w:i/>
          <w:iCs/>
          <w:lang w:val="en-US"/>
        </w:rPr>
        <w:t>TREATMENT CYCLE</w:t>
      </w:r>
    </w:p>
    <w:p w14:paraId="0475EEE6" w14:textId="77EDECAB" w:rsidR="00C6291C" w:rsidRPr="0069088C" w:rsidRDefault="00C6291C" w:rsidP="00C6291C">
      <w:pPr>
        <w:rPr>
          <w:rFonts w:ascii="Times New Roman" w:hAnsi="Times New Roman" w:cs="Times New Roman"/>
          <w:lang w:val="en-US"/>
        </w:rPr>
      </w:pPr>
      <w:r w:rsidRPr="0069088C">
        <w:rPr>
          <w:rFonts w:ascii="Times New Roman" w:hAnsi="Times New Roman" w:cs="Times New Roman"/>
          <w:lang w:val="en-US"/>
        </w:rPr>
        <w:t>Two protocols were applied for cyclic treatments combining PDI and ANTB.</w:t>
      </w:r>
    </w:p>
    <w:p w14:paraId="3B5AADFE" w14:textId="7CE724A4" w:rsidR="00C6291C" w:rsidRPr="0069088C" w:rsidRDefault="00C463D5" w:rsidP="00C6291C">
      <w:pPr>
        <w:rPr>
          <w:rFonts w:ascii="Times New Roman" w:hAnsi="Times New Roman" w:cs="Times New Roman"/>
          <w:lang w:val="en-US"/>
        </w:rPr>
      </w:pPr>
      <w:r w:rsidRPr="0069088C">
        <w:rPr>
          <w:rFonts w:ascii="Times New Roman" w:hAnsi="Times New Roman" w:cs="Times New Roman"/>
          <w:i/>
          <w:iCs/>
          <w:lang w:val="en-US"/>
        </w:rPr>
        <w:t xml:space="preserve">Concomitant </w:t>
      </w:r>
      <w:r w:rsidR="00C6291C" w:rsidRPr="0069088C">
        <w:rPr>
          <w:rFonts w:ascii="Times New Roman" w:hAnsi="Times New Roman" w:cs="Times New Roman"/>
          <w:i/>
          <w:iCs/>
          <w:lang w:val="en-US"/>
        </w:rPr>
        <w:t>cycle</w:t>
      </w:r>
      <w:r w:rsidR="00C6291C" w:rsidRPr="0069088C">
        <w:rPr>
          <w:rFonts w:ascii="Times New Roman" w:hAnsi="Times New Roman" w:cs="Times New Roman"/>
          <w:lang w:val="en-US"/>
        </w:rPr>
        <w:t xml:space="preserve">: the bacteria were incubated with 10 </w:t>
      </w:r>
      <w:r w:rsidR="00C6291C" w:rsidRPr="0069088C">
        <w:rPr>
          <w:rFonts w:ascii="Times New Roman" w:hAnsi="Times New Roman" w:cs="Times New Roman"/>
        </w:rPr>
        <w:t>μ</w:t>
      </w:r>
      <w:r w:rsidR="00C6291C" w:rsidRPr="0069088C">
        <w:rPr>
          <w:rFonts w:ascii="Times New Roman" w:hAnsi="Times New Roman" w:cs="Times New Roman"/>
          <w:lang w:val="en-US"/>
        </w:rPr>
        <w:t xml:space="preserve">M curcumin for 15 min and subsequently irradiated with 10 J/cm² at 450 nm by Biotable®. Then the cells were suspended in MH containing antibiotic AMO, </w:t>
      </w:r>
      <w:r w:rsidR="007D765F" w:rsidRPr="0069088C">
        <w:rPr>
          <w:rFonts w:ascii="Times New Roman" w:hAnsi="Times New Roman" w:cs="Times New Roman"/>
          <w:lang w:val="en-US"/>
        </w:rPr>
        <w:t>ERY</w:t>
      </w:r>
      <w:r w:rsidR="00C6291C" w:rsidRPr="0069088C">
        <w:rPr>
          <w:rFonts w:ascii="Times New Roman" w:hAnsi="Times New Roman" w:cs="Times New Roman"/>
          <w:lang w:val="en-US"/>
        </w:rPr>
        <w:t>, GEN separately under previously established MIC conditions and incubated at 37°C for 6 hours. Subsequently, the cells were washed and samples collected for plating and determination of CFU/ml. Washed cells were subjected to this protocol for an additional 5 cycles.</w:t>
      </w:r>
    </w:p>
    <w:p w14:paraId="20D1CB35" w14:textId="25BD9467" w:rsidR="00C6291C" w:rsidRPr="0069088C" w:rsidRDefault="00C6291C" w:rsidP="00C6291C">
      <w:pPr>
        <w:rPr>
          <w:rFonts w:ascii="Times New Roman" w:hAnsi="Times New Roman" w:cs="Times New Roman"/>
          <w:lang w:val="en-US"/>
        </w:rPr>
      </w:pPr>
      <w:r w:rsidRPr="0069088C">
        <w:rPr>
          <w:rFonts w:ascii="Times New Roman" w:hAnsi="Times New Roman" w:cs="Times New Roman"/>
          <w:i/>
          <w:iCs/>
          <w:lang w:val="en-US"/>
        </w:rPr>
        <w:t>Alternating cycle</w:t>
      </w:r>
      <w:r w:rsidRPr="0069088C">
        <w:rPr>
          <w:rFonts w:ascii="Times New Roman" w:hAnsi="Times New Roman" w:cs="Times New Roman"/>
          <w:lang w:val="en-US"/>
        </w:rPr>
        <w:t xml:space="preserve">: At time 0h the bacteria were incubated with 10 </w:t>
      </w:r>
      <w:r w:rsidRPr="0069088C">
        <w:rPr>
          <w:rFonts w:ascii="Times New Roman" w:hAnsi="Times New Roman" w:cs="Times New Roman"/>
        </w:rPr>
        <w:t>μ</w:t>
      </w:r>
      <w:r w:rsidRPr="0069088C">
        <w:rPr>
          <w:rFonts w:ascii="Times New Roman" w:hAnsi="Times New Roman" w:cs="Times New Roman"/>
          <w:lang w:val="en-US"/>
        </w:rPr>
        <w:t xml:space="preserve">M curcumin for 15 min and then irradiated with 10 J/cm² at 450 nm by Biotable® and the surviving cells were suspended in MH only and incubated at 37 °C for 6 hours. Subsequently, the cells were washed and samples collected for plating and determination of CFU/ml. Washed cells were suspended in MH containing antibiotic AMO, </w:t>
      </w:r>
      <w:r w:rsidR="007D765F" w:rsidRPr="0069088C">
        <w:rPr>
          <w:rFonts w:ascii="Times New Roman" w:hAnsi="Times New Roman" w:cs="Times New Roman"/>
          <w:lang w:val="en-US"/>
        </w:rPr>
        <w:t>ERY</w:t>
      </w:r>
      <w:r w:rsidRPr="0069088C">
        <w:rPr>
          <w:rFonts w:ascii="Times New Roman" w:hAnsi="Times New Roman" w:cs="Times New Roman"/>
          <w:lang w:val="en-US"/>
        </w:rPr>
        <w:t>, GEN separately under previously established MIC conditions and incubated at 37°C for 6 hours. The procedure was repeated for a total of 30 hours, and at times 0</w:t>
      </w:r>
      <w:r w:rsidR="00A15488" w:rsidRPr="0069088C">
        <w:rPr>
          <w:rFonts w:ascii="Times New Roman" w:hAnsi="Times New Roman" w:cs="Times New Roman"/>
          <w:lang w:val="en-US"/>
        </w:rPr>
        <w:t>, 12, 24 hours</w:t>
      </w:r>
      <w:r w:rsidRPr="0069088C">
        <w:rPr>
          <w:rFonts w:ascii="Times New Roman" w:hAnsi="Times New Roman" w:cs="Times New Roman"/>
          <w:lang w:val="en-US"/>
        </w:rPr>
        <w:t xml:space="preserve"> </w:t>
      </w:r>
      <w:r w:rsidR="006615DC" w:rsidRPr="0069088C">
        <w:rPr>
          <w:rFonts w:ascii="Times New Roman" w:hAnsi="Times New Roman" w:cs="Times New Roman"/>
          <w:i/>
          <w:lang w:val="en-US"/>
        </w:rPr>
        <w:t>S. aureus</w:t>
      </w:r>
      <w:r w:rsidRPr="0069088C">
        <w:rPr>
          <w:rFonts w:ascii="Times New Roman" w:hAnsi="Times New Roman" w:cs="Times New Roman"/>
          <w:lang w:val="en-US"/>
        </w:rPr>
        <w:t xml:space="preserve"> received </w:t>
      </w:r>
      <w:r w:rsidR="00E500A9" w:rsidRPr="0069088C">
        <w:rPr>
          <w:rFonts w:ascii="Times New Roman" w:hAnsi="Times New Roman" w:cs="Times New Roman"/>
          <w:lang w:val="en-US"/>
        </w:rPr>
        <w:t>PDI</w:t>
      </w:r>
      <w:r w:rsidR="00A15488" w:rsidRPr="0069088C">
        <w:rPr>
          <w:rFonts w:ascii="Times New Roman" w:hAnsi="Times New Roman" w:cs="Times New Roman"/>
          <w:lang w:val="en-US"/>
        </w:rPr>
        <w:t xml:space="preserve"> and at times 6 and</w:t>
      </w:r>
      <w:r w:rsidRPr="0069088C">
        <w:rPr>
          <w:rFonts w:ascii="Times New Roman" w:hAnsi="Times New Roman" w:cs="Times New Roman"/>
          <w:lang w:val="en-US"/>
        </w:rPr>
        <w:t xml:space="preserve"> 18 </w:t>
      </w:r>
      <w:r w:rsidR="00A15488" w:rsidRPr="0069088C">
        <w:rPr>
          <w:rFonts w:ascii="Times New Roman" w:hAnsi="Times New Roman" w:cs="Times New Roman"/>
          <w:lang w:val="en-US"/>
        </w:rPr>
        <w:t xml:space="preserve">hours </w:t>
      </w:r>
      <w:r w:rsidRPr="0069088C">
        <w:rPr>
          <w:rFonts w:ascii="Times New Roman" w:hAnsi="Times New Roman" w:cs="Times New Roman"/>
          <w:lang w:val="en-US"/>
        </w:rPr>
        <w:t>antibiotic therapy.</w:t>
      </w:r>
    </w:p>
    <w:p w14:paraId="2B6D733E" w14:textId="3ADD7A73" w:rsidR="00C6291C" w:rsidRPr="0069088C" w:rsidRDefault="00882835" w:rsidP="00C6291C">
      <w:pPr>
        <w:rPr>
          <w:rFonts w:ascii="Times New Roman" w:hAnsi="Times New Roman" w:cs="Times New Roman"/>
          <w:i/>
          <w:iCs/>
          <w:lang w:val="en-US"/>
        </w:rPr>
      </w:pPr>
      <w:r w:rsidRPr="0069088C">
        <w:rPr>
          <w:rFonts w:ascii="Times New Roman" w:hAnsi="Times New Roman" w:cs="Times New Roman"/>
          <w:i/>
          <w:iCs/>
          <w:lang w:val="en-US"/>
        </w:rPr>
        <w:t xml:space="preserve">2.7 </w:t>
      </w:r>
      <w:r w:rsidR="00C6291C" w:rsidRPr="0069088C">
        <w:rPr>
          <w:rFonts w:ascii="Times New Roman" w:hAnsi="Times New Roman" w:cs="Times New Roman"/>
          <w:i/>
          <w:iCs/>
          <w:lang w:val="en-US"/>
        </w:rPr>
        <w:t>FOURIER TRANSFORMATION INFRARED SPECTROSCOPY</w:t>
      </w:r>
    </w:p>
    <w:p w14:paraId="20EAD3D6" w14:textId="2B70BE8C" w:rsidR="00C6291C" w:rsidRPr="0069088C" w:rsidRDefault="00C6291C" w:rsidP="00C6291C">
      <w:pPr>
        <w:rPr>
          <w:rFonts w:ascii="Times New Roman" w:hAnsi="Times New Roman" w:cs="Times New Roman"/>
          <w:lang w:val="en-US"/>
        </w:rPr>
      </w:pPr>
      <w:r w:rsidRPr="0069088C">
        <w:rPr>
          <w:rFonts w:ascii="Times New Roman" w:hAnsi="Times New Roman" w:cs="Times New Roman"/>
          <w:lang w:val="en-US"/>
        </w:rPr>
        <w:t xml:space="preserve">The samples plated from the treatment cycle (2.6) at 37 °C for 24 hours, had the colonies collected for analysis on the Attenuated Total Reflection (ATR) Fourier Transform Infrared (FTIR) equipment. Agilent Cary 630 FTIR Spectrometer®. The bacterial colony </w:t>
      </w:r>
      <w:r w:rsidRPr="0069088C">
        <w:rPr>
          <w:rFonts w:ascii="Times New Roman" w:hAnsi="Times New Roman" w:cs="Times New Roman"/>
          <w:lang w:val="en-US"/>
        </w:rPr>
        <w:lastRenderedPageBreak/>
        <w:t>was evenly distributed over the crystal surface. The dry sample was scanned 250 times and the result was the average of the measurements. The FTIR spectrum was measured in the range of 4000 to 650 cm</w:t>
      </w:r>
      <w:r w:rsidRPr="0069088C">
        <w:rPr>
          <w:rFonts w:ascii="Times New Roman" w:hAnsi="Times New Roman" w:cs="Times New Roman"/>
          <w:vertAlign w:val="superscript"/>
          <w:lang w:val="en-US"/>
        </w:rPr>
        <w:t>-1</w:t>
      </w:r>
      <w:r w:rsidRPr="0069088C">
        <w:rPr>
          <w:rFonts w:ascii="Times New Roman" w:hAnsi="Times New Roman" w:cs="Times New Roman"/>
          <w:lang w:val="en-US"/>
        </w:rPr>
        <w:t>. Measurements were performed on three different samples. The resulting spectrum of bacteria was submitted to the calculation of the second derivative, then to normalization by minimum-maximum and the data submitted to hierarchical cluster analysis by Origin.</w:t>
      </w:r>
      <w:r w:rsidR="00A40AFC" w:rsidRPr="0069088C">
        <w:rPr>
          <w:rFonts w:ascii="Times New Roman" w:hAnsi="Times New Roman" w:cs="Times New Roman"/>
          <w:lang w:val="en-US"/>
        </w:rPr>
        <w:fldChar w:fldCharType="begin" w:fldLock="1"/>
      </w:r>
      <w:r w:rsidR="00A40AFC" w:rsidRPr="0069088C">
        <w:rPr>
          <w:rFonts w:ascii="Times New Roman" w:hAnsi="Times New Roman" w:cs="Times New Roman"/>
          <w:lang w:val="en-US"/>
        </w:rPr>
        <w:instrText>ADDIN CSL_CITATION {"citationItems":[{"id":"ITEM-1","itemData":{"DOI":"10.1006/jsre.1997.5004","ISSN":"00224804","abstract":"Aminolevulinic acid (ALA) is being used as a 'prodrug' for photodynamic therapy. The side effects of ALA have been only anecdotally reported and these effects as well as pharmacokinetics of the photosensitizing end product of ALA, protoporphyrin IX (PpIX), in patients undergoing operation are unknown. This study systematically determines the side effects of ALA and pharmacokinetics of PpIX in patients undergoing abdominal surgery. Patients were given 30 or 60 mg/kg ALA preoperatively, kept in subdued light for 48 hr, and monitored clinically and with laboratory tests for 5 to 7 days and for at least 2 months thereafter. Periodic plasma samples and tissue biopsies were analyzed for PpIX concentrations using a photodiode array system. No patient developed symptoms of porphyria other than nausea and vomiting, which occurred in 20%. Nearly one-quarter of patients developed transient abnormal liver functions. No patient developed cutaneous phototoxicity, abnormal neurologic function, or unexpected postoperative laboratory tests. The times of peak plasma, skin, skeletal muscle, omental, mucosal, muscularis mucosal, and tumor concentrations of PpIX varied among patients. In general, PpIX concentrations were significantly greater with the higher dose of ALA. Tumor PpIX concentrations were significantly greater than in other tissues except liver. In conclusion, ALA, up to 60 mg/kg, is associated with minimal side effects in patients undergoing operation. Actual tissue concentrations of PpIX suggest that endogenous pbotosensitization using systemically administered ALA is a mode of PDT feasible for treatment of adenocarcinomas of the gastrointestinal tract in humans.","author":[{"dropping-particle":"","family":"Webber","given":"John","non-dropping-particle":"","parse-names":false,"suffix":""},{"dropping-particle":"","family":"Kessel","given":"David","non-dropping-particle":"","parse-names":false,"suffix":""},{"dropping-particle":"","family":"Fromm","given":"David","non-dropping-particle":"","parse-names":false,"suffix":""}],"container-title":"Journal of Surgical Research","id":"ITEM-1","issue":"1","issued":{"date-parts":[["1997"]]},"page":"31-37","title":"Side effects and photosensitization of human tissues after aminolevulinic acid","type":"article-journal","volume":"68"},"uris":["http://www.mendeley.com/documents/?uuid=57a204e3-eeba-4570-b715-dd49bb44964b"]}],"mendeley":{"formattedCitation":"&lt;sup&gt;17&lt;/sup&gt;","plainTextFormattedCitation":"17","previouslyFormattedCitation":"&lt;sup&gt;17&lt;/sup&gt;"},"properties":{"noteIndex":0},"schema":"https://github.com/citation-style-language/schema/raw/master/csl-citation.json"}</w:instrText>
      </w:r>
      <w:r w:rsidR="00A40AFC" w:rsidRPr="0069088C">
        <w:rPr>
          <w:rFonts w:ascii="Times New Roman" w:hAnsi="Times New Roman" w:cs="Times New Roman"/>
          <w:lang w:val="en-US"/>
        </w:rPr>
        <w:fldChar w:fldCharType="separate"/>
      </w:r>
      <w:r w:rsidR="00A40AFC" w:rsidRPr="0069088C">
        <w:rPr>
          <w:rFonts w:ascii="Times New Roman" w:hAnsi="Times New Roman" w:cs="Times New Roman"/>
          <w:noProof/>
          <w:vertAlign w:val="superscript"/>
          <w:lang w:val="en-US"/>
        </w:rPr>
        <w:t>17</w:t>
      </w:r>
      <w:r w:rsidR="00A40AFC" w:rsidRPr="0069088C">
        <w:rPr>
          <w:rFonts w:ascii="Times New Roman" w:hAnsi="Times New Roman" w:cs="Times New Roman"/>
          <w:lang w:val="en-US"/>
        </w:rPr>
        <w:fldChar w:fldCharType="end"/>
      </w:r>
    </w:p>
    <w:p w14:paraId="1EC3CB64" w14:textId="77777777" w:rsidR="002E0DB6" w:rsidRPr="0069088C" w:rsidRDefault="002E0DB6" w:rsidP="002E0DB6">
      <w:pPr>
        <w:rPr>
          <w:rFonts w:ascii="Times New Roman" w:hAnsi="Times New Roman" w:cs="Times New Roman"/>
          <w:i/>
          <w:iCs/>
          <w:lang w:val="en-US"/>
        </w:rPr>
      </w:pPr>
    </w:p>
    <w:p w14:paraId="30B9D209" w14:textId="5DAF564E" w:rsidR="002E0DB6" w:rsidRPr="0069088C" w:rsidRDefault="00882835" w:rsidP="002E0DB6">
      <w:pPr>
        <w:rPr>
          <w:rFonts w:ascii="Times New Roman" w:hAnsi="Times New Roman" w:cs="Times New Roman"/>
          <w:i/>
          <w:iCs/>
          <w:lang w:val="en-US"/>
        </w:rPr>
      </w:pPr>
      <w:r w:rsidRPr="0069088C">
        <w:rPr>
          <w:rFonts w:ascii="Times New Roman" w:hAnsi="Times New Roman" w:cs="Times New Roman"/>
          <w:i/>
          <w:iCs/>
          <w:lang w:val="en-US"/>
        </w:rPr>
        <w:t xml:space="preserve">2.8 </w:t>
      </w:r>
      <w:r w:rsidR="002E0DB6" w:rsidRPr="0069088C">
        <w:rPr>
          <w:rFonts w:ascii="Times New Roman" w:hAnsi="Times New Roman" w:cs="Times New Roman"/>
          <w:i/>
          <w:iCs/>
          <w:lang w:val="en-US"/>
        </w:rPr>
        <w:t xml:space="preserve">CONFOCAL MRICOSCOPY ANALYSIS </w:t>
      </w:r>
    </w:p>
    <w:p w14:paraId="4793CBD0" w14:textId="70B3E02C" w:rsidR="00C463D5" w:rsidRPr="0069088C" w:rsidRDefault="00F2480B" w:rsidP="00C463D5">
      <w:pPr>
        <w:rPr>
          <w:rFonts w:ascii="Times New Roman" w:hAnsi="Times New Roman" w:cs="Times New Roman"/>
          <w:lang w:val="en-US"/>
        </w:rPr>
      </w:pPr>
      <w:r w:rsidRPr="0069088C">
        <w:rPr>
          <w:rFonts w:ascii="Times New Roman" w:hAnsi="Times New Roman" w:cs="Times New Roman"/>
          <w:lang w:val="en-US"/>
        </w:rPr>
        <w:t xml:space="preserve">An inverted Zeiss LSM 780 confocal laser scanning microscope (CLSM) with a Coherent Chameleon laser (Ti:sapphire) as a two-photons (2P) excitation source tuned to a wavelength of 800 nm was used in the experiments with laser pulse at 80 MHz. The images were collected in spectral mode and channel modes with an objective lens (63×, 1.2 numerical aperture, water immersion). Planktonic bacterial cells were </w:t>
      </w:r>
      <w:r w:rsidR="0081354A" w:rsidRPr="0069088C">
        <w:rPr>
          <w:rFonts w:ascii="Times New Roman" w:hAnsi="Times New Roman" w:cs="Times New Roman"/>
          <w:lang w:val="en-US"/>
        </w:rPr>
        <w:t>conditioned</w:t>
      </w:r>
      <w:r w:rsidRPr="0069088C">
        <w:rPr>
          <w:rFonts w:ascii="Times New Roman" w:hAnsi="Times New Roman" w:cs="Times New Roman"/>
          <w:lang w:val="en-US"/>
        </w:rPr>
        <w:t xml:space="preserve"> in sterilized confocal dishes and maintained at 37°C at 7% CO</w:t>
      </w:r>
      <w:r w:rsidRPr="0069088C">
        <w:rPr>
          <w:rFonts w:ascii="Times New Roman" w:hAnsi="Times New Roman" w:cs="Times New Roman"/>
          <w:vertAlign w:val="subscript"/>
          <w:lang w:val="en-US"/>
        </w:rPr>
        <w:t>2</w:t>
      </w:r>
      <w:r w:rsidRPr="0069088C">
        <w:rPr>
          <w:rFonts w:ascii="Times New Roman" w:hAnsi="Times New Roman" w:cs="Times New Roman"/>
          <w:lang w:val="en-US"/>
        </w:rPr>
        <w:t xml:space="preserve">. The final measurement water volume for each well was 200 μl. Cell viability was measured using the LIVE/DEADTM reagent with 2-photon excitation at 800 nm in channel mode, fluorescence was captured between 415 and 540 nm for acridine orange and 580 to 620 nm for ethidium bromide. The experiments were carried out in the case of viability above 90%. </w:t>
      </w:r>
      <w:r w:rsidR="00C463D5" w:rsidRPr="0069088C">
        <w:rPr>
          <w:rFonts w:ascii="Times New Roman" w:hAnsi="Times New Roman" w:cs="Times New Roman"/>
          <w:lang w:val="en-US"/>
        </w:rPr>
        <w:t>The optical setup was adjusted to the best signal-to-noise ratio and fixed when different samples were compared.</w:t>
      </w:r>
    </w:p>
    <w:p w14:paraId="0D700AB9" w14:textId="3FABF03F" w:rsidR="00F2480B" w:rsidRPr="0069088C" w:rsidRDefault="00F2480B" w:rsidP="00F2480B">
      <w:pPr>
        <w:rPr>
          <w:rFonts w:ascii="Times New Roman" w:hAnsi="Times New Roman" w:cs="Times New Roman"/>
          <w:lang w:val="en-US"/>
        </w:rPr>
      </w:pPr>
      <w:r w:rsidRPr="0069088C">
        <w:rPr>
          <w:rFonts w:ascii="Times New Roman" w:hAnsi="Times New Roman" w:cs="Times New Roman"/>
          <w:i/>
          <w:lang w:val="en-US"/>
        </w:rPr>
        <w:t>Fluorescence Lifetime Imaging (FLIM</w:t>
      </w:r>
      <w:r w:rsidRPr="0069088C">
        <w:rPr>
          <w:rFonts w:ascii="Times New Roman" w:hAnsi="Times New Roman" w:cs="Times New Roman"/>
          <w:lang w:val="en-US"/>
        </w:rPr>
        <w:t>)</w:t>
      </w:r>
      <w:r w:rsidR="00C463D5" w:rsidRPr="0069088C">
        <w:rPr>
          <w:rFonts w:ascii="Times New Roman" w:hAnsi="Times New Roman" w:cs="Times New Roman"/>
          <w:lang w:val="en-US"/>
        </w:rPr>
        <w:t>: For FLIM</w:t>
      </w:r>
      <w:r w:rsidRPr="0069088C">
        <w:rPr>
          <w:rFonts w:ascii="Times New Roman" w:hAnsi="Times New Roman" w:cs="Times New Roman"/>
          <w:lang w:val="en-US"/>
        </w:rPr>
        <w:t xml:space="preserve"> experiments, the 2P laser was pulsed at 80 MHz. The fluorescence was divided by a beam splitter in two detecting channels of a PicoQuant GmbH system detecting the fluorescence between 500 and 550 nm. The method used was the time correlated single photon counting (TCSPC) using an avalanche detector, which has a time response limited at about 100 ps. Two-exponential fit was used to adjust the fluorescence decay data. The choice of the fitting range was set by the software program (Time Trace Analysis by PicoQuant GmbH) by considering the decay part of the time dependent data according to optimal parameters.</w:t>
      </w:r>
    </w:p>
    <w:p w14:paraId="53B10F59" w14:textId="77777777" w:rsidR="00F2480B" w:rsidRPr="0069088C" w:rsidRDefault="00F2480B" w:rsidP="00F2480B">
      <w:pPr>
        <w:rPr>
          <w:rFonts w:ascii="Times New Roman" w:hAnsi="Times New Roman" w:cs="Times New Roman"/>
          <w:color w:val="000000" w:themeColor="text1"/>
          <w:lang w:val="en-US"/>
        </w:rPr>
      </w:pPr>
      <w:r w:rsidRPr="0069088C">
        <w:rPr>
          <w:rFonts w:ascii="Times New Roman" w:hAnsi="Times New Roman" w:cs="Times New Roman"/>
          <w:i/>
          <w:color w:val="000000" w:themeColor="text1"/>
          <w:lang w:val="en-US"/>
        </w:rPr>
        <w:t>Photosensitizer uptake</w:t>
      </w:r>
      <w:r w:rsidRPr="0069088C">
        <w:rPr>
          <w:rFonts w:ascii="Times New Roman" w:hAnsi="Times New Roman" w:cs="Times New Roman"/>
          <w:color w:val="000000" w:themeColor="text1"/>
          <w:lang w:val="en-US"/>
        </w:rPr>
        <w:t>: The average laser power was adjusted between 1.1% and 4% so that the fluence of emission photons per pixel was sufficient for image collection in channel and spectral mode. The scan was adjusted for image collection every 30s for 30 min using low dose (&lt;0.5 J/cm²) with no measurable photodegradation damage.</w:t>
      </w:r>
    </w:p>
    <w:p w14:paraId="4AA6B83A" w14:textId="4EABC8EF" w:rsidR="00F2480B" w:rsidRPr="0069088C" w:rsidRDefault="00F2480B" w:rsidP="00F2480B">
      <w:pPr>
        <w:rPr>
          <w:rFonts w:ascii="Times New Roman" w:hAnsi="Times New Roman" w:cs="Times New Roman"/>
          <w:color w:val="000000" w:themeColor="text1"/>
          <w:lang w:val="en-US"/>
        </w:rPr>
      </w:pPr>
      <w:r w:rsidRPr="0069088C">
        <w:rPr>
          <w:rFonts w:ascii="Times New Roman" w:hAnsi="Times New Roman" w:cs="Times New Roman"/>
          <w:i/>
          <w:color w:val="000000" w:themeColor="text1"/>
          <w:lang w:val="en-US"/>
        </w:rPr>
        <w:lastRenderedPageBreak/>
        <w:t>Fluorescence recovery after photodegradation (FRAP):</w:t>
      </w:r>
      <w:r w:rsidRPr="0069088C">
        <w:rPr>
          <w:rFonts w:ascii="Times New Roman" w:hAnsi="Times New Roman" w:cs="Times New Roman"/>
          <w:color w:val="000000" w:themeColor="text1"/>
          <w:lang w:val="en-US"/>
        </w:rPr>
        <w:t xml:space="preserve"> For FRAP experiments, The samples were photodegraded in a specific rectangular region of the image and the focal plane of the image was always set at 10 micrometers above the glass slide interface. The power of the two-photon laser at 800 nm in the photodegraded region was set to 40% of the nominal intensity (300 microwatts) while 2% of the power was used to scan the entire </w:t>
      </w:r>
      <w:r w:rsidR="0081354A" w:rsidRPr="0069088C">
        <w:rPr>
          <w:rFonts w:ascii="Times New Roman" w:hAnsi="Times New Roman" w:cs="Times New Roman"/>
          <w:color w:val="000000" w:themeColor="text1"/>
          <w:lang w:val="en-US"/>
        </w:rPr>
        <w:t>image. The</w:t>
      </w:r>
      <w:r w:rsidRPr="0069088C">
        <w:rPr>
          <w:rFonts w:ascii="Times New Roman" w:hAnsi="Times New Roman" w:cs="Times New Roman"/>
          <w:color w:val="000000" w:themeColor="text1"/>
          <w:lang w:val="en-US"/>
        </w:rPr>
        <w:t xml:space="preserve"> photodegradation process was started after collecting 5 images (7.75 s/image). Fifteen recovery images were collected. The emission detection wavelength ranged from 490 to 585 nm.</w:t>
      </w:r>
    </w:p>
    <w:p w14:paraId="1AAA4FD7" w14:textId="77777777" w:rsidR="002E0DB6" w:rsidRPr="0069088C" w:rsidRDefault="002E0DB6" w:rsidP="002E0DB6">
      <w:pPr>
        <w:rPr>
          <w:rFonts w:ascii="Times New Roman" w:hAnsi="Times New Roman" w:cs="Times New Roman"/>
          <w:i/>
          <w:iCs/>
          <w:lang w:val="en-US"/>
        </w:rPr>
      </w:pPr>
    </w:p>
    <w:p w14:paraId="2709B765" w14:textId="2A8EE7F2" w:rsidR="002E0DB6" w:rsidRPr="0069088C" w:rsidRDefault="00882835" w:rsidP="002E0DB6">
      <w:pPr>
        <w:rPr>
          <w:rFonts w:ascii="Times New Roman" w:hAnsi="Times New Roman" w:cs="Times New Roman"/>
          <w:i/>
          <w:iCs/>
          <w:lang w:val="en-US"/>
        </w:rPr>
      </w:pPr>
      <w:r w:rsidRPr="0069088C">
        <w:rPr>
          <w:rFonts w:ascii="Times New Roman" w:hAnsi="Times New Roman" w:cs="Times New Roman"/>
          <w:i/>
          <w:iCs/>
          <w:lang w:val="en-US"/>
        </w:rPr>
        <w:t xml:space="preserve">2.9 </w:t>
      </w:r>
      <w:r w:rsidR="002E0DB6" w:rsidRPr="0069088C">
        <w:rPr>
          <w:rFonts w:ascii="Times New Roman" w:hAnsi="Times New Roman" w:cs="Times New Roman"/>
          <w:i/>
          <w:iCs/>
          <w:lang w:val="en-US"/>
        </w:rPr>
        <w:t xml:space="preserve">STATISTICAL ANALYSIS </w:t>
      </w:r>
    </w:p>
    <w:p w14:paraId="3ACD5DD5" w14:textId="0999B88D" w:rsidR="002E0DB6" w:rsidRPr="0069088C" w:rsidRDefault="002E0DB6" w:rsidP="002E0DB6">
      <w:pPr>
        <w:rPr>
          <w:rFonts w:ascii="Times New Roman" w:hAnsi="Times New Roman" w:cs="Times New Roman"/>
          <w:lang w:val="en-US"/>
        </w:rPr>
      </w:pPr>
      <w:r w:rsidRPr="0069088C">
        <w:rPr>
          <w:rFonts w:ascii="Times New Roman" w:hAnsi="Times New Roman" w:cs="Times New Roman"/>
          <w:lang w:val="en-US"/>
        </w:rPr>
        <w:t xml:space="preserve">The experiments were performed in triplicate for each group studied. The results were analyzed using ANOVA associated with the post hoc Tukey test. Values ​​were considered significantly different with a 95% confidence interval. To analyze the synergistic and antagonistic effects </w:t>
      </w:r>
      <w:r w:rsidR="006615DC" w:rsidRPr="0069088C">
        <w:rPr>
          <w:rFonts w:ascii="Times New Roman" w:hAnsi="Times New Roman" w:cs="Times New Roman"/>
          <w:lang w:val="en-US"/>
        </w:rPr>
        <w:t>of the combination of therapies</w:t>
      </w:r>
      <w:r w:rsidRPr="0069088C">
        <w:rPr>
          <w:rFonts w:ascii="Times New Roman" w:hAnsi="Times New Roman" w:cs="Times New Roman"/>
          <w:lang w:val="en-US"/>
        </w:rPr>
        <w:t xml:space="preserve"> the Bliss independence model</w:t>
      </w:r>
      <w:r w:rsidR="00006CE0" w:rsidRPr="0069088C">
        <w:rPr>
          <w:rFonts w:ascii="Times New Roman" w:hAnsi="Times New Roman" w:cs="Times New Roman"/>
          <w:lang w:val="en-US"/>
        </w:rPr>
        <w:t xml:space="preserve"> </w:t>
      </w:r>
      <w:r w:rsidR="00A40AFC" w:rsidRPr="0069088C">
        <w:rPr>
          <w:rFonts w:ascii="Times New Roman" w:hAnsi="Times New Roman" w:cs="Times New Roman"/>
          <w:lang w:val="en-US"/>
        </w:rPr>
        <w:fldChar w:fldCharType="begin" w:fldLock="1"/>
      </w:r>
      <w:r w:rsidR="00A40AFC" w:rsidRPr="0069088C">
        <w:rPr>
          <w:rFonts w:ascii="Times New Roman" w:hAnsi="Times New Roman" w:cs="Times New Roman"/>
          <w:lang w:val="en-US"/>
        </w:rPr>
        <w:instrText>ADDIN CSL_CITATION {"citationItems":[{"id":"ITEM-1","itemData":{"DOI":"10.1126/sciadv.1701776","ISSN":"23752548","PMID":"28983513","abstract":"The rise of multidrug-resistant (MDR) bacteria is a growing concern to global health and is exacerbated by the lack of new antibiotics. To treat already pervasive MDR infections, new classes of antibiotics or antibiotic adjuvants are needed. Reactive oxygen species (ROS) have been shown to play a role during antibacterial action; however, it is not yet understood whether ROS contribute directly to or are an outcome of bacterial lethality caused by antibiotics. We show that a light-activated nanoparticle, designed to produce tunable flux of specific ROS, superoxide, potentiates the activity of antibiotics in clinical MDR isolates ofEscherichia coli,Salmonella enterica, andKlebsiella pneumoniae. Despite the high degree of antibiotic resistance in these isolates, we observed a synergistic interaction between both bactericidal and bacteriostatic antibiotics with varied mechanisms of action and our superoxide-producing nanoparticles in more than 75% of combinations. As a result of this potentiation, the effective antibiotic concentration of the clinical isolates was reduced up to 1000-fold below their respective sensitive/resistant breakpoint. Further, superoxide-generating nanoparticles in combination with ciprofloxacin reduced bacterial load in epithelial cells infected withS. entericaserovar Typhimurium and increasedCaenorhabditis eleganssurvival upon infection withS. entericaserovar Enteriditis, compared to antibiotic alone. This demonstration highlights the ability to engineer superoxide generation to potentiate antibiotic activity and combat highly drug-resistant bacterial pathogens.","author":[{"dropping-particle":"","family":"Courtney","given":"Colleen M.","non-dropping-particle":"","parse-names":false,"suffix":""},{"dropping-particle":"","family":"Goodman","given":"Samuel M.","non-dropping-particle":"","parse-names":false,"suffix":""},{"dropping-particle":"","family":"Nagy","given":"Toni A.","non-dropping-particle":"","parse-names":false,"suffix":""},{"dropping-particle":"","family":"Levy","given":"Max","non-dropping-particle":"","parse-names":false,"suffix":""},{"dropping-particle":"","family":"Bhusal","given":"Pallavi","non-dropping-particle":"","parse-names":false,"suffix":""},{"dropping-particle":"","family":"Madinger","given":"Nancy E.","non-dropping-particle":"","parse-names":false,"suffix":""},{"dropping-particle":"","family":"Detweiler","given":"Corrella S.","non-dropping-particle":"","parse-names":false,"suffix":""},{"dropping-particle":"","family":"Nagpal","given":"Prashant","non-dropping-particle":"","parse-names":false,"suffix":""},{"dropping-particle":"","family":"Chatterjee","given":"Anushree","non-dropping-particle":"","parse-names":false,"suffix":""}],"container-title":"Science Advances","id":"ITEM-1","issue":"10","issued":{"date-parts":[["2017"]]},"page":"1-11","title":"Potentiating antibiotics in drug-resistant clinical isolates via stimuli-activated superoxide generation","type":"article-journal","volume":"3"},"uris":["http://www.mendeley.com/documents/?uuid=fa1a66a3-be1c-4181-8083-5f7dcc61d73a"]}],"mendeley":{"formattedCitation":"&lt;sup&gt;18&lt;/sup&gt;","plainTextFormattedCitation":"18","previouslyFormattedCitation":"&lt;sup&gt;18&lt;/sup&gt;"},"properties":{"noteIndex":0},"schema":"https://github.com/citation-style-language/schema/raw/master/csl-citation.json"}</w:instrText>
      </w:r>
      <w:r w:rsidR="00A40AFC" w:rsidRPr="0069088C">
        <w:rPr>
          <w:rFonts w:ascii="Times New Roman" w:hAnsi="Times New Roman" w:cs="Times New Roman"/>
          <w:lang w:val="en-US"/>
        </w:rPr>
        <w:fldChar w:fldCharType="separate"/>
      </w:r>
      <w:r w:rsidR="00A40AFC" w:rsidRPr="0069088C">
        <w:rPr>
          <w:rFonts w:ascii="Times New Roman" w:hAnsi="Times New Roman" w:cs="Times New Roman"/>
          <w:noProof/>
          <w:vertAlign w:val="superscript"/>
          <w:lang w:val="en-US"/>
        </w:rPr>
        <w:t>18</w:t>
      </w:r>
      <w:r w:rsidR="00A40AFC" w:rsidRPr="0069088C">
        <w:rPr>
          <w:rFonts w:ascii="Times New Roman" w:hAnsi="Times New Roman" w:cs="Times New Roman"/>
          <w:lang w:val="en-US"/>
        </w:rPr>
        <w:fldChar w:fldCharType="end"/>
      </w:r>
      <w:r w:rsidRPr="0069088C">
        <w:rPr>
          <w:rFonts w:ascii="Times New Roman" w:hAnsi="Times New Roman" w:cs="Times New Roman"/>
          <w:lang w:val="en-US"/>
        </w:rPr>
        <w:t xml:space="preserve"> </w:t>
      </w:r>
      <w:r w:rsidR="006615DC" w:rsidRPr="0069088C">
        <w:rPr>
          <w:rFonts w:ascii="Times New Roman" w:hAnsi="Times New Roman" w:cs="Times New Roman"/>
          <w:lang w:val="en-US"/>
        </w:rPr>
        <w:t>was</w:t>
      </w:r>
      <w:r w:rsidRPr="0069088C">
        <w:rPr>
          <w:rFonts w:ascii="Times New Roman" w:hAnsi="Times New Roman" w:cs="Times New Roman"/>
          <w:lang w:val="en-US"/>
        </w:rPr>
        <w:t xml:space="preserve"> applied according to the equation below:</w:t>
      </w:r>
    </w:p>
    <w:p w14:paraId="73957A6F" w14:textId="38BC7B58" w:rsidR="002E0DB6" w:rsidRPr="0069088C" w:rsidRDefault="002E0DB6" w:rsidP="00634D10">
      <w:pPr>
        <w:jc w:val="center"/>
        <w:rPr>
          <w:rFonts w:ascii="Times New Roman" w:hAnsi="Times New Roman" w:cs="Times New Roman"/>
          <w:lang w:val="en-US"/>
        </w:rPr>
      </w:pPr>
      <w:r w:rsidRPr="0069088C">
        <w:rPr>
          <w:rFonts w:ascii="Times New Roman" w:hAnsi="Times New Roman" w:cs="Times New Roman"/>
          <w:lang w:val="en-US"/>
        </w:rPr>
        <w:t>S</w:t>
      </w:r>
      <w:r w:rsidRPr="0069088C">
        <w:rPr>
          <w:rFonts w:ascii="Times New Roman" w:hAnsi="Times New Roman" w:cs="Times New Roman"/>
          <w:vertAlign w:val="subscript"/>
          <w:lang w:val="en-US"/>
        </w:rPr>
        <w:t>blis</w:t>
      </w:r>
      <w:r w:rsidRPr="0069088C">
        <w:rPr>
          <w:rFonts w:ascii="Times New Roman" w:hAnsi="Times New Roman" w:cs="Times New Roman"/>
          <w:lang w:val="en-US"/>
        </w:rPr>
        <w:t>=</w:t>
      </w:r>
      <w:r w:rsidRPr="0069088C">
        <w:rPr>
          <w:rFonts w:ascii="Times New Roman" w:eastAsia="Cambria Math" w:hAnsi="Times New Roman" w:cs="Times New Roman"/>
          <w:lang w:val="en-US"/>
        </w:rPr>
        <w:t xml:space="preserve"> </w:t>
      </w:r>
      <w:r w:rsidRPr="0069088C">
        <w:rPr>
          <w:rFonts w:ascii="Times New Roman" w:hAnsi="Times New Roman" w:cs="Times New Roman"/>
          <w:lang w:val="en-US"/>
        </w:rPr>
        <w:t>SF</w:t>
      </w:r>
      <w:r w:rsidRPr="0069088C">
        <w:rPr>
          <w:rFonts w:ascii="Times New Roman" w:hAnsi="Times New Roman" w:cs="Times New Roman"/>
          <w:vertAlign w:val="subscript"/>
          <w:lang w:val="en-US"/>
        </w:rPr>
        <w:t>antb</w:t>
      </w:r>
      <w:r w:rsidRPr="0069088C">
        <w:rPr>
          <w:rFonts w:ascii="Times New Roman" w:hAnsi="Times New Roman" w:cs="Times New Roman"/>
          <w:lang w:val="en-US"/>
        </w:rPr>
        <w:t xml:space="preserve"> *SF</w:t>
      </w:r>
      <w:r w:rsidRPr="0069088C">
        <w:rPr>
          <w:rFonts w:ascii="Times New Roman" w:eastAsia="Cambria Math" w:hAnsi="Times New Roman" w:cs="Times New Roman"/>
          <w:vertAlign w:val="subscript"/>
          <w:lang w:val="en-US"/>
        </w:rPr>
        <w:t>PDI</w:t>
      </w:r>
      <w:r w:rsidRPr="0069088C">
        <w:rPr>
          <w:rFonts w:ascii="Times New Roman" w:hAnsi="Times New Roman" w:cs="Times New Roman"/>
          <w:lang w:val="en-US"/>
        </w:rPr>
        <w:t xml:space="preserve">   -  SF</w:t>
      </w:r>
      <w:r w:rsidRPr="0069088C">
        <w:rPr>
          <w:rFonts w:ascii="Times New Roman" w:hAnsi="Times New Roman" w:cs="Times New Roman"/>
          <w:vertAlign w:val="subscript"/>
          <w:lang w:val="en-US"/>
        </w:rPr>
        <w:t>Comb</w:t>
      </w:r>
    </w:p>
    <w:p w14:paraId="442E931B" w14:textId="77777777" w:rsidR="002802FB" w:rsidRPr="0069088C" w:rsidRDefault="002802FB" w:rsidP="002E0DB6">
      <w:pPr>
        <w:rPr>
          <w:rFonts w:ascii="Times New Roman" w:hAnsi="Times New Roman" w:cs="Times New Roman"/>
          <w:lang w:val="en-US"/>
        </w:rPr>
      </w:pPr>
    </w:p>
    <w:p w14:paraId="53031D10" w14:textId="59C5015F" w:rsidR="008D085F" w:rsidRPr="0069088C" w:rsidRDefault="008D085F" w:rsidP="008D085F">
      <w:pPr>
        <w:rPr>
          <w:rFonts w:ascii="Times New Roman" w:hAnsi="Times New Roman" w:cs="Times New Roman"/>
          <w:b/>
          <w:bCs/>
          <w:lang w:val="en-US"/>
        </w:rPr>
      </w:pPr>
      <w:r w:rsidRPr="0069088C">
        <w:rPr>
          <w:rFonts w:ascii="Times New Roman" w:hAnsi="Times New Roman" w:cs="Times New Roman"/>
          <w:b/>
          <w:bCs/>
          <w:lang w:val="en-US"/>
        </w:rPr>
        <w:t>3 - RESULTS</w:t>
      </w:r>
    </w:p>
    <w:p w14:paraId="1AEC5FA8" w14:textId="47BAFAD3" w:rsidR="006C5CF1" w:rsidRPr="0069088C" w:rsidRDefault="006C5CF1" w:rsidP="008D085F">
      <w:pPr>
        <w:rPr>
          <w:rFonts w:ascii="Times New Roman" w:hAnsi="Times New Roman" w:cs="Times New Roman"/>
          <w:lang w:val="en-US"/>
        </w:rPr>
      </w:pPr>
    </w:p>
    <w:p w14:paraId="1CF64E3F" w14:textId="6AF2CB17" w:rsidR="006C5CF1" w:rsidRPr="0069088C" w:rsidRDefault="006C5CF1" w:rsidP="008D085F">
      <w:pPr>
        <w:rPr>
          <w:rFonts w:ascii="Times New Roman" w:hAnsi="Times New Roman" w:cs="Times New Roman"/>
          <w:lang w:val="en-US"/>
        </w:rPr>
      </w:pPr>
      <w:r w:rsidRPr="0069088C">
        <w:rPr>
          <w:rFonts w:ascii="Times New Roman" w:hAnsi="Times New Roman" w:cs="Times New Roman"/>
          <w:lang w:val="en-US"/>
        </w:rPr>
        <w:t xml:space="preserve">PHOTODYNAMIC AND ANTIBIOTIC INACTIVATION - Figure 1.B shows the survival of </w:t>
      </w:r>
      <w:r w:rsidRPr="0069088C">
        <w:rPr>
          <w:rFonts w:ascii="Times New Roman" w:hAnsi="Times New Roman" w:cs="Times New Roman"/>
          <w:i/>
          <w:iCs/>
          <w:lang w:val="en-US"/>
        </w:rPr>
        <w:t xml:space="preserve">S. aureus </w:t>
      </w:r>
      <w:r w:rsidRPr="0069088C">
        <w:rPr>
          <w:rFonts w:ascii="Times New Roman" w:hAnsi="Times New Roman" w:cs="Times New Roman"/>
          <w:lang w:val="en-US"/>
        </w:rPr>
        <w:t xml:space="preserve">in PDI as a function of light dose and fixed concentration of curcumin. No microbial toxicity was observed using curcumin in the dark and only with the light application. The 10 μM curcumin condition using 10 and 20 J/cm² light doses was evaluated in combination </w:t>
      </w:r>
      <w:r w:rsidR="00C63A0A" w:rsidRPr="0069088C">
        <w:rPr>
          <w:rFonts w:ascii="Times New Roman" w:hAnsi="Times New Roman" w:cs="Times New Roman"/>
          <w:lang w:val="en-US"/>
        </w:rPr>
        <w:t>therapies</w:t>
      </w:r>
      <w:r w:rsidRPr="0069088C">
        <w:rPr>
          <w:rFonts w:ascii="Times New Roman" w:hAnsi="Times New Roman" w:cs="Times New Roman"/>
          <w:lang w:val="en-US"/>
        </w:rPr>
        <w:t xml:space="preserve"> resulting in </w:t>
      </w:r>
      <w:r w:rsidR="00C778A9" w:rsidRPr="0069088C">
        <w:rPr>
          <w:rFonts w:ascii="Times New Roman" w:hAnsi="Times New Roman" w:cs="Times New Roman"/>
          <w:lang w:val="en-US"/>
        </w:rPr>
        <w:t xml:space="preserve">about </w:t>
      </w:r>
      <w:r w:rsidRPr="0069088C">
        <w:rPr>
          <w:rFonts w:ascii="Times New Roman" w:hAnsi="Times New Roman" w:cs="Times New Roman"/>
          <w:lang w:val="en-US"/>
        </w:rPr>
        <w:t xml:space="preserve">3 log (CFU/ml) bacterial </w:t>
      </w:r>
      <w:r w:rsidR="00C63A0A" w:rsidRPr="0069088C">
        <w:rPr>
          <w:rFonts w:ascii="Times New Roman" w:hAnsi="Times New Roman" w:cs="Times New Roman"/>
          <w:lang w:val="en-US"/>
        </w:rPr>
        <w:t>death</w:t>
      </w:r>
      <w:r w:rsidRPr="0069088C">
        <w:rPr>
          <w:rFonts w:ascii="Times New Roman" w:hAnsi="Times New Roman" w:cs="Times New Roman"/>
          <w:lang w:val="en-US"/>
        </w:rPr>
        <w:t>.</w:t>
      </w:r>
    </w:p>
    <w:p w14:paraId="0314BED2" w14:textId="77777777" w:rsidR="00150355" w:rsidRPr="0069088C" w:rsidRDefault="00150355" w:rsidP="008D085F">
      <w:pPr>
        <w:rPr>
          <w:rFonts w:ascii="Times New Roman" w:hAnsi="Times New Roman" w:cs="Times New Roman"/>
          <w:lang w:val="en-US"/>
        </w:rPr>
      </w:pPr>
    </w:p>
    <w:p w14:paraId="3738AFBF" w14:textId="18CCD954" w:rsidR="002802FB" w:rsidRPr="0069088C" w:rsidRDefault="00032D69" w:rsidP="008D085F">
      <w:pPr>
        <w:rPr>
          <w:rFonts w:ascii="Times New Roman" w:hAnsi="Times New Roman" w:cs="Times New Roman"/>
          <w:lang w:val="en-US"/>
        </w:rPr>
      </w:pPr>
      <w:r>
        <w:rPr>
          <w:rFonts w:ascii="Times New Roman" w:hAnsi="Times New Roman" w:cs="Times New Roman"/>
          <w:noProof/>
        </w:rPr>
        <w:lastRenderedPageBreak/>
        <w:drawing>
          <wp:inline distT="0" distB="0" distL="0" distR="0" wp14:anchorId="05BA2BE2" wp14:editId="52908188">
            <wp:extent cx="5400040" cy="4375785"/>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375785"/>
                    </a:xfrm>
                    <a:prstGeom prst="rect">
                      <a:avLst/>
                    </a:prstGeom>
                  </pic:spPr>
                </pic:pic>
              </a:graphicData>
            </a:graphic>
          </wp:inline>
        </w:drawing>
      </w:r>
    </w:p>
    <w:p w14:paraId="34D67C74" w14:textId="2501AA3C" w:rsidR="002802FB" w:rsidRPr="0069088C" w:rsidRDefault="008E461A" w:rsidP="002802FB">
      <w:pPr>
        <w:pBdr>
          <w:top w:val="nil"/>
          <w:left w:val="nil"/>
          <w:bottom w:val="nil"/>
          <w:right w:val="nil"/>
          <w:between w:val="nil"/>
        </w:pBdr>
        <w:spacing w:after="200" w:line="240" w:lineRule="auto"/>
        <w:rPr>
          <w:rFonts w:ascii="Times New Roman" w:hAnsi="Times New Roman" w:cs="Times New Roman"/>
          <w:color w:val="000000"/>
          <w:sz w:val="20"/>
          <w:szCs w:val="20"/>
          <w:lang w:val="en-US"/>
        </w:rPr>
      </w:pPr>
      <w:r w:rsidRPr="0069088C">
        <w:rPr>
          <w:rFonts w:ascii="Times New Roman" w:hAnsi="Times New Roman" w:cs="Times New Roman"/>
          <w:color w:val="000000"/>
          <w:sz w:val="20"/>
          <w:szCs w:val="20"/>
          <w:lang w:val="en-US"/>
        </w:rPr>
        <w:t>Figure</w:t>
      </w:r>
      <w:r w:rsidR="002802FB" w:rsidRPr="0069088C">
        <w:rPr>
          <w:rFonts w:ascii="Times New Roman" w:hAnsi="Times New Roman" w:cs="Times New Roman"/>
          <w:color w:val="000000"/>
          <w:sz w:val="20"/>
          <w:szCs w:val="20"/>
          <w:lang w:val="en-US"/>
        </w:rPr>
        <w:t xml:space="preserve"> 1 </w:t>
      </w:r>
      <w:r w:rsidR="00AB63CF" w:rsidRPr="0069088C">
        <w:rPr>
          <w:rFonts w:ascii="Times New Roman" w:hAnsi="Times New Roman" w:cs="Times New Roman"/>
          <w:color w:val="000000"/>
          <w:sz w:val="20"/>
          <w:szCs w:val="20"/>
          <w:lang w:val="en-US"/>
        </w:rPr>
        <w:t xml:space="preserve">Photodynamic inactivation (PDI) and antibiotic therapy. A) Mechanism of action of the PDI represented by the Jablonski diagram. B) Survival of S. aureus with curcumin dark control </w:t>
      </w:r>
      <w:r w:rsidR="002802FB" w:rsidRPr="0069088C">
        <w:rPr>
          <w:rFonts w:ascii="Times New Roman" w:hAnsi="Times New Roman" w:cs="Times New Roman"/>
          <w:color w:val="000000"/>
          <w:sz w:val="20"/>
          <w:szCs w:val="20"/>
          <w:lang w:val="en-US"/>
        </w:rPr>
        <w:t xml:space="preserve">10 </w:t>
      </w:r>
      <w:r w:rsidR="002802FB" w:rsidRPr="0069088C">
        <w:rPr>
          <w:rFonts w:ascii="Times New Roman" w:eastAsia="Century Gothic" w:hAnsi="Times New Roman" w:cs="Times New Roman"/>
          <w:color w:val="000000"/>
          <w:sz w:val="20"/>
          <w:szCs w:val="20"/>
        </w:rPr>
        <w:t>μ</w:t>
      </w:r>
      <w:r w:rsidR="002802FB" w:rsidRPr="0069088C">
        <w:rPr>
          <w:rFonts w:ascii="Times New Roman" w:hAnsi="Times New Roman" w:cs="Times New Roman"/>
          <w:color w:val="000000"/>
          <w:sz w:val="20"/>
          <w:szCs w:val="20"/>
          <w:lang w:val="en-US"/>
        </w:rPr>
        <w:t>M (</w:t>
      </w:r>
      <w:r w:rsidR="00E500A9" w:rsidRPr="0069088C">
        <w:rPr>
          <w:rFonts w:ascii="Times New Roman" w:hAnsi="Times New Roman" w:cs="Times New Roman"/>
          <w:color w:val="000000"/>
          <w:sz w:val="20"/>
          <w:szCs w:val="20"/>
          <w:lang w:val="en-US"/>
        </w:rPr>
        <w:t>PS</w:t>
      </w:r>
      <w:r w:rsidR="002802FB" w:rsidRPr="0069088C">
        <w:rPr>
          <w:rFonts w:ascii="Times New Roman" w:hAnsi="Times New Roman" w:cs="Times New Roman"/>
          <w:color w:val="000000"/>
          <w:sz w:val="20"/>
          <w:szCs w:val="20"/>
          <w:lang w:val="en-US"/>
        </w:rPr>
        <w:t xml:space="preserve">10), </w:t>
      </w:r>
      <w:r w:rsidR="00AB63CF" w:rsidRPr="0069088C">
        <w:rPr>
          <w:rFonts w:ascii="Times New Roman" w:hAnsi="Times New Roman" w:cs="Times New Roman"/>
          <w:color w:val="000000"/>
          <w:sz w:val="20"/>
          <w:szCs w:val="20"/>
          <w:lang w:val="en-US"/>
        </w:rPr>
        <w:t xml:space="preserve">control light doses from 5 to 80 </w:t>
      </w:r>
      <w:r w:rsidR="002802FB" w:rsidRPr="0069088C">
        <w:rPr>
          <w:rFonts w:ascii="Times New Roman" w:hAnsi="Times New Roman" w:cs="Times New Roman"/>
          <w:color w:val="000000"/>
          <w:sz w:val="20"/>
          <w:szCs w:val="20"/>
          <w:lang w:val="en-US"/>
        </w:rPr>
        <w:t xml:space="preserve">J/cm³ (L) </w:t>
      </w:r>
      <w:r w:rsidR="00AB63CF" w:rsidRPr="0069088C">
        <w:rPr>
          <w:rFonts w:ascii="Times New Roman" w:hAnsi="Times New Roman" w:cs="Times New Roman"/>
          <w:color w:val="000000"/>
          <w:sz w:val="20"/>
          <w:szCs w:val="20"/>
          <w:lang w:val="en-US"/>
        </w:rPr>
        <w:t>and</w:t>
      </w:r>
      <w:r w:rsidR="002802FB" w:rsidRPr="0069088C">
        <w:rPr>
          <w:rFonts w:ascii="Times New Roman" w:hAnsi="Times New Roman" w:cs="Times New Roman"/>
          <w:color w:val="000000"/>
          <w:sz w:val="20"/>
          <w:szCs w:val="20"/>
          <w:lang w:val="en-US"/>
        </w:rPr>
        <w:t xml:space="preserve"> </w:t>
      </w:r>
      <w:r w:rsidR="00AB63CF" w:rsidRPr="0069088C">
        <w:rPr>
          <w:rFonts w:ascii="Times New Roman" w:hAnsi="Times New Roman" w:cs="Times New Roman"/>
          <w:color w:val="000000"/>
          <w:sz w:val="20"/>
          <w:szCs w:val="20"/>
          <w:lang w:val="en-US"/>
        </w:rPr>
        <w:t xml:space="preserve">PDI with fixed PS concentration for different light doses </w:t>
      </w:r>
      <w:r w:rsidR="002802FB" w:rsidRPr="0069088C">
        <w:rPr>
          <w:rFonts w:ascii="Times New Roman" w:hAnsi="Times New Roman" w:cs="Times New Roman"/>
          <w:color w:val="000000"/>
          <w:sz w:val="20"/>
          <w:szCs w:val="20"/>
          <w:lang w:val="en-US"/>
        </w:rPr>
        <w:t>(C10L</w:t>
      </w:r>
      <w:r w:rsidR="00AB63CF" w:rsidRPr="0069088C">
        <w:rPr>
          <w:rFonts w:ascii="Times New Roman" w:hAnsi="Times New Roman" w:cs="Times New Roman"/>
          <w:color w:val="000000"/>
          <w:sz w:val="20"/>
          <w:szCs w:val="20"/>
          <w:lang w:val="en-US"/>
        </w:rPr>
        <w:t>). B) Bacterial survival for PDI. C) Standard Minimum Inhibitory Concentration (MIC) (control) values for the antibiotic amoxicillin, erythromycin and gentamicin. D) Determination of membrane permeability by the presence of extracellular DNA in bacteria exposed to 10</w:t>
      </w:r>
      <w:r w:rsidR="002802FB" w:rsidRPr="0069088C">
        <w:rPr>
          <w:rFonts w:ascii="Times New Roman" w:hAnsi="Times New Roman" w:cs="Times New Roman"/>
          <w:sz w:val="20"/>
          <w:szCs w:val="20"/>
          <w:lang w:val="en-US"/>
        </w:rPr>
        <w:t xml:space="preserve"> </w:t>
      </w:r>
      <w:r w:rsidR="004439C6" w:rsidRPr="0069088C">
        <w:rPr>
          <w:rFonts w:ascii="Times New Roman" w:eastAsia="Century Gothic" w:hAnsi="Times New Roman" w:cs="Times New Roman"/>
          <w:sz w:val="20"/>
          <w:szCs w:val="20"/>
        </w:rPr>
        <w:t>μ</w:t>
      </w:r>
      <w:r w:rsidR="004439C6" w:rsidRPr="0069088C">
        <w:rPr>
          <w:rFonts w:ascii="Times New Roman" w:eastAsia="Century Gothic" w:hAnsi="Times New Roman" w:cs="Times New Roman"/>
          <w:sz w:val="20"/>
          <w:szCs w:val="20"/>
          <w:lang w:val="en-US"/>
        </w:rPr>
        <w:t xml:space="preserve">M of curcumin in the dark and with a light dose of 10 and 20 </w:t>
      </w:r>
      <w:r w:rsidR="002802FB" w:rsidRPr="0069088C">
        <w:rPr>
          <w:rFonts w:ascii="Times New Roman" w:hAnsi="Times New Roman" w:cs="Times New Roman"/>
          <w:sz w:val="20"/>
          <w:szCs w:val="20"/>
          <w:lang w:val="en-US"/>
        </w:rPr>
        <w:t xml:space="preserve">J/cm². * </w:t>
      </w:r>
      <w:r w:rsidR="004439C6" w:rsidRPr="0069088C">
        <w:rPr>
          <w:rFonts w:ascii="Times New Roman" w:hAnsi="Times New Roman" w:cs="Times New Roman"/>
          <w:sz w:val="20"/>
          <w:szCs w:val="20"/>
          <w:lang w:val="en-US"/>
        </w:rPr>
        <w:t>indicate statistically significant difference p&lt;0.</w:t>
      </w:r>
      <w:r w:rsidR="002802FB" w:rsidRPr="0069088C">
        <w:rPr>
          <w:rFonts w:ascii="Times New Roman" w:hAnsi="Times New Roman" w:cs="Times New Roman"/>
          <w:sz w:val="20"/>
          <w:szCs w:val="20"/>
          <w:lang w:val="en-US"/>
        </w:rPr>
        <w:t>05.</w:t>
      </w:r>
    </w:p>
    <w:p w14:paraId="25216A7F" w14:textId="77777777" w:rsidR="002802FB" w:rsidRPr="0069088C" w:rsidRDefault="002802FB" w:rsidP="002802FB">
      <w:pPr>
        <w:rPr>
          <w:rFonts w:ascii="Times New Roman" w:hAnsi="Times New Roman" w:cs="Times New Roman"/>
          <w:lang w:val="en-US"/>
        </w:rPr>
      </w:pPr>
    </w:p>
    <w:p w14:paraId="7185F99A" w14:textId="51A91BEC" w:rsidR="00570992" w:rsidRPr="0069088C" w:rsidRDefault="002802FB" w:rsidP="002802FB">
      <w:pPr>
        <w:rPr>
          <w:rFonts w:ascii="Times New Roman" w:hAnsi="Times New Roman" w:cs="Times New Roman"/>
          <w:lang w:val="en-US"/>
        </w:rPr>
      </w:pPr>
      <w:r w:rsidRPr="0069088C">
        <w:rPr>
          <w:rFonts w:ascii="Times New Roman" w:hAnsi="Times New Roman" w:cs="Times New Roman"/>
          <w:lang w:val="en-US"/>
        </w:rPr>
        <w:t>Amoxicillin (</w:t>
      </w:r>
      <w:r w:rsidRPr="0069088C">
        <w:rPr>
          <w:rFonts w:ascii="Times New Roman" w:hAnsi="Times New Roman" w:cs="Times New Roman"/>
        </w:rPr>
        <w:t>β</w:t>
      </w:r>
      <w:r w:rsidRPr="0069088C">
        <w:rPr>
          <w:rFonts w:ascii="Times New Roman" w:hAnsi="Times New Roman" w:cs="Times New Roman"/>
          <w:lang w:val="en-US"/>
        </w:rPr>
        <w:t>-lactam), erythromycin (macrolide) and gentamicin (aminoglycoside) shown in Figure 1.C presented the MIC indicating that the studied strain is sensitive to antibiotics, with the exception of erythromycin, which was classified as resistant.</w:t>
      </w:r>
      <w:r w:rsidR="00570992" w:rsidRPr="0069088C">
        <w:rPr>
          <w:rFonts w:ascii="Times New Roman" w:hAnsi="Times New Roman" w:cs="Times New Roman"/>
          <w:lang w:val="en-US"/>
        </w:rPr>
        <w:t xml:space="preserve"> While antibiotic therapy has a specificity depending on the antibiotic used, which can be observed by the different MICs, the conditions of inactivation of the PDI are constant.</w:t>
      </w:r>
      <w:r w:rsidR="001C22D4" w:rsidRPr="0069088C">
        <w:rPr>
          <w:rFonts w:ascii="Times New Roman" w:hAnsi="Times New Roman" w:cs="Times New Roman"/>
          <w:lang w:val="en-US"/>
        </w:rPr>
        <w:t xml:space="preserve"> </w:t>
      </w:r>
      <w:r w:rsidRPr="0069088C">
        <w:rPr>
          <w:rFonts w:ascii="Times New Roman" w:hAnsi="Times New Roman" w:cs="Times New Roman"/>
          <w:lang w:val="en-US"/>
        </w:rPr>
        <w:t xml:space="preserve">The previous application of the </w:t>
      </w:r>
      <w:r w:rsidR="00E500A9" w:rsidRPr="0069088C">
        <w:rPr>
          <w:rFonts w:ascii="Times New Roman" w:hAnsi="Times New Roman" w:cs="Times New Roman"/>
          <w:lang w:val="en-US"/>
        </w:rPr>
        <w:t>PDI</w:t>
      </w:r>
      <w:r w:rsidRPr="0069088C">
        <w:rPr>
          <w:rFonts w:ascii="Times New Roman" w:hAnsi="Times New Roman" w:cs="Times New Roman"/>
          <w:lang w:val="en-US"/>
        </w:rPr>
        <w:t xml:space="preserve"> potentiated the action of the three antibiotics. Surviving microbial cells were more sensitive with a 2- to 32-fold reduction in MICs. </w:t>
      </w:r>
      <w:r w:rsidR="000E0FCC" w:rsidRPr="0069088C">
        <w:rPr>
          <w:rFonts w:ascii="Times New Roman" w:hAnsi="Times New Roman" w:cs="Times New Roman"/>
          <w:lang w:val="en-US"/>
        </w:rPr>
        <w:t xml:space="preserve">Bacterial exposure to curcumin in the dark did not change the initial MIC values for AMO and GEN, and there was an 8-fold reduction in bacterial cell numbers when treated with ERY. </w:t>
      </w:r>
      <w:r w:rsidR="00573BFF" w:rsidRPr="0069088C">
        <w:rPr>
          <w:rFonts w:ascii="Times New Roman" w:hAnsi="Times New Roman" w:cs="Times New Roman"/>
          <w:lang w:val="en-US"/>
        </w:rPr>
        <w:t xml:space="preserve">Reductions in MIC values promoted by the PDI preview application, in general, remained constant independent of the dose of applied light. </w:t>
      </w:r>
      <w:r w:rsidR="00570992" w:rsidRPr="0069088C">
        <w:rPr>
          <w:rFonts w:ascii="Times New Roman" w:hAnsi="Times New Roman" w:cs="Times New Roman"/>
          <w:lang w:val="en-US"/>
        </w:rPr>
        <w:t xml:space="preserve">This result demonstrated that </w:t>
      </w:r>
      <w:r w:rsidR="00570992" w:rsidRPr="0069088C">
        <w:rPr>
          <w:rFonts w:ascii="Times New Roman" w:hAnsi="Times New Roman" w:cs="Times New Roman"/>
          <w:lang w:val="en-US"/>
        </w:rPr>
        <w:lastRenderedPageBreak/>
        <w:t>synergistic combinations can be identified depending on the treatment conditions and the class of antibiotic chosen.</w:t>
      </w:r>
    </w:p>
    <w:p w14:paraId="68403EB7" w14:textId="3BC56AE1" w:rsidR="002802FB" w:rsidRPr="0069088C" w:rsidRDefault="000E0FCC" w:rsidP="002802FB">
      <w:pPr>
        <w:rPr>
          <w:rFonts w:ascii="Times New Roman" w:hAnsi="Times New Roman" w:cs="Times New Roman"/>
          <w:lang w:val="en-US"/>
        </w:rPr>
      </w:pPr>
      <w:r w:rsidRPr="0069088C">
        <w:rPr>
          <w:rFonts w:ascii="Times New Roman" w:hAnsi="Times New Roman" w:cs="Times New Roman"/>
          <w:lang w:val="en-US"/>
        </w:rPr>
        <w:t xml:space="preserve"> </w:t>
      </w:r>
      <w:r w:rsidR="002802FB" w:rsidRPr="0069088C">
        <w:rPr>
          <w:rFonts w:ascii="Times New Roman" w:hAnsi="Times New Roman" w:cs="Times New Roman"/>
          <w:lang w:val="en-US"/>
        </w:rPr>
        <w:t xml:space="preserve">To assess the damage caused to the bacterial plasma membrane by </w:t>
      </w:r>
      <w:r w:rsidR="00E500A9" w:rsidRPr="0069088C">
        <w:rPr>
          <w:rFonts w:ascii="Times New Roman" w:hAnsi="Times New Roman" w:cs="Times New Roman"/>
          <w:lang w:val="en-US"/>
        </w:rPr>
        <w:t>PDI</w:t>
      </w:r>
      <w:r w:rsidR="002802FB" w:rsidRPr="0069088C">
        <w:rPr>
          <w:rFonts w:ascii="Times New Roman" w:hAnsi="Times New Roman" w:cs="Times New Roman"/>
          <w:lang w:val="en-US"/>
        </w:rPr>
        <w:t>, the presence of extracellular DNA</w:t>
      </w:r>
      <w:r w:rsidR="001440F1" w:rsidRPr="0069088C">
        <w:rPr>
          <w:rFonts w:ascii="Times New Roman" w:hAnsi="Times New Roman" w:cs="Times New Roman"/>
          <w:lang w:val="en-US"/>
        </w:rPr>
        <w:t xml:space="preserve"> was quantified</w:t>
      </w:r>
      <w:r w:rsidR="002802FB" w:rsidRPr="0069088C">
        <w:rPr>
          <w:rFonts w:ascii="Times New Roman" w:hAnsi="Times New Roman" w:cs="Times New Roman"/>
          <w:lang w:val="en-US"/>
        </w:rPr>
        <w:t xml:space="preserve">. </w:t>
      </w:r>
      <w:r w:rsidR="00286E79" w:rsidRPr="0069088C">
        <w:rPr>
          <w:rFonts w:ascii="Times New Roman" w:hAnsi="Times New Roman" w:cs="Times New Roman"/>
          <w:lang w:val="en-US"/>
        </w:rPr>
        <w:t>Figure 1.D shows the representation of the genetic material of the PDI groups in relation to the control group. The highest light dose (20 J/cm²) applied to the PDI showed a greater presence of extracellular DNA in the supernatant, indicating bacterial membrane damage due to the increase in its permeability.</w:t>
      </w:r>
    </w:p>
    <w:p w14:paraId="5B486CC7" w14:textId="2003F778" w:rsidR="00054BCA" w:rsidRPr="0069088C" w:rsidRDefault="007B4A77" w:rsidP="005D0874">
      <w:pPr>
        <w:rPr>
          <w:rFonts w:ascii="Times New Roman" w:hAnsi="Times New Roman" w:cs="Times New Roman"/>
          <w:lang w:val="en-US"/>
        </w:rPr>
      </w:pPr>
      <w:r w:rsidRPr="0069088C">
        <w:rPr>
          <w:rFonts w:ascii="Times New Roman" w:hAnsi="Times New Roman" w:cs="Times New Roman"/>
          <w:lang w:val="en-US"/>
        </w:rPr>
        <w:t xml:space="preserve">EFFECT OF COMBINATION THERAPY PROTOCOLS - Different combined protocols of </w:t>
      </w:r>
      <w:r w:rsidR="00E500A9" w:rsidRPr="0069088C">
        <w:rPr>
          <w:rFonts w:ascii="Times New Roman" w:hAnsi="Times New Roman" w:cs="Times New Roman"/>
          <w:lang w:val="en-US"/>
        </w:rPr>
        <w:t>PDI</w:t>
      </w:r>
      <w:r w:rsidRPr="0069088C">
        <w:rPr>
          <w:rFonts w:ascii="Times New Roman" w:hAnsi="Times New Roman" w:cs="Times New Roman"/>
          <w:lang w:val="en-US"/>
        </w:rPr>
        <w:t xml:space="preserve"> with antibiotic therapy were evaluated for the influence of the order of combination of both therapies on inactivation responses. In Figure 2, the survival response of </w:t>
      </w:r>
      <w:r w:rsidR="006615DC" w:rsidRPr="0069088C">
        <w:rPr>
          <w:rFonts w:ascii="Times New Roman" w:hAnsi="Times New Roman" w:cs="Times New Roman"/>
          <w:i/>
          <w:lang w:val="en-US"/>
        </w:rPr>
        <w:t>S. aureus</w:t>
      </w:r>
      <w:r w:rsidRPr="0069088C">
        <w:rPr>
          <w:rFonts w:ascii="Times New Roman" w:hAnsi="Times New Roman" w:cs="Times New Roman"/>
          <w:lang w:val="en-US"/>
        </w:rPr>
        <w:t xml:space="preserve"> is shown at different antibiotic concentrations close to the MIC value. The bacteria first receive the PDI then the antibiotic in the group oxidative stress. All treated groups showed lower survival when compared to monotherapies for the combination of </w:t>
      </w:r>
      <w:r w:rsidR="007D765F" w:rsidRPr="0069088C">
        <w:rPr>
          <w:rFonts w:ascii="Times New Roman" w:hAnsi="Times New Roman" w:cs="Times New Roman"/>
          <w:lang w:val="en-US"/>
        </w:rPr>
        <w:t>ERY</w:t>
      </w:r>
      <w:r w:rsidRPr="0069088C">
        <w:rPr>
          <w:rFonts w:ascii="Times New Roman" w:hAnsi="Times New Roman" w:cs="Times New Roman"/>
          <w:lang w:val="en-US"/>
        </w:rPr>
        <w:t xml:space="preserve"> and GEN with PDI (only ANTB or PDI) </w:t>
      </w:r>
      <w:r w:rsidR="0081354A" w:rsidRPr="0069088C">
        <w:rPr>
          <w:rFonts w:ascii="Times New Roman" w:hAnsi="Times New Roman" w:cs="Times New Roman"/>
          <w:lang w:val="en-US"/>
        </w:rPr>
        <w:t>i.e.</w:t>
      </w:r>
      <w:r w:rsidRPr="0069088C">
        <w:rPr>
          <w:rFonts w:ascii="Times New Roman" w:hAnsi="Times New Roman" w:cs="Times New Roman"/>
          <w:lang w:val="en-US"/>
        </w:rPr>
        <w:t xml:space="preserve"> a synergistic response. The groups treated with AMO combined with PDI (20 J/cm²) had lower survival than monotherapy, therefore some groups were synergistic. Whereas, microbial survival was higher compared to antibiotic therapy, but lower than PDI monotherapy using 10 J/cm² and higher concentrations of AMO.</w:t>
      </w:r>
    </w:p>
    <w:p w14:paraId="7D44161F" w14:textId="5FE2E0F7" w:rsidR="005D0874" w:rsidRPr="0069088C" w:rsidRDefault="001C22D4" w:rsidP="005D0874">
      <w:pPr>
        <w:rPr>
          <w:rFonts w:ascii="Times New Roman" w:hAnsi="Times New Roman" w:cs="Times New Roman"/>
          <w:lang w:val="en-US"/>
        </w:rPr>
      </w:pPr>
      <w:r w:rsidRPr="0069088C">
        <w:rPr>
          <w:rFonts w:ascii="Times New Roman" w:hAnsi="Times New Roman" w:cs="Times New Roman"/>
          <w:lang w:val="en-US"/>
        </w:rPr>
        <w:t xml:space="preserve"> </w:t>
      </w:r>
      <w:r w:rsidR="005D0874" w:rsidRPr="0069088C">
        <w:rPr>
          <w:rFonts w:ascii="Times New Roman" w:hAnsi="Times New Roman" w:cs="Times New Roman"/>
          <w:lang w:val="en-US"/>
        </w:rPr>
        <w:t xml:space="preserve">In the protocol called </w:t>
      </w:r>
      <w:r w:rsidR="009945ED" w:rsidRPr="0069088C">
        <w:rPr>
          <w:rFonts w:ascii="Times New Roman" w:hAnsi="Times New Roman" w:cs="Times New Roman"/>
          <w:lang w:val="en-US"/>
        </w:rPr>
        <w:t xml:space="preserve">simultaneous </w:t>
      </w:r>
      <w:r w:rsidR="0081354A" w:rsidRPr="0069088C">
        <w:rPr>
          <w:rFonts w:ascii="Times New Roman" w:hAnsi="Times New Roman" w:cs="Times New Roman"/>
          <w:lang w:val="en-US"/>
        </w:rPr>
        <w:t>internalization,</w:t>
      </w:r>
      <w:r w:rsidR="005D0874" w:rsidRPr="0069088C">
        <w:rPr>
          <w:rFonts w:ascii="Times New Roman" w:hAnsi="Times New Roman" w:cs="Times New Roman"/>
          <w:lang w:val="en-US"/>
        </w:rPr>
        <w:t xml:space="preserve"> the ANTB is irradiated with the PS, that is, PS and ANTB are internalized simultaneously in the </w:t>
      </w:r>
      <w:r w:rsidR="004E01F1" w:rsidRPr="0069088C">
        <w:rPr>
          <w:rFonts w:ascii="Times New Roman" w:hAnsi="Times New Roman" w:cs="Times New Roman"/>
          <w:lang w:val="en-US"/>
        </w:rPr>
        <w:t>cells previously</w:t>
      </w:r>
      <w:r w:rsidR="005D0874" w:rsidRPr="0069088C">
        <w:rPr>
          <w:rFonts w:ascii="Times New Roman" w:hAnsi="Times New Roman" w:cs="Times New Roman"/>
          <w:lang w:val="en-US"/>
        </w:rPr>
        <w:t xml:space="preserve"> </w:t>
      </w:r>
      <w:r w:rsidR="004E01F1" w:rsidRPr="0069088C">
        <w:rPr>
          <w:rFonts w:ascii="Times New Roman" w:hAnsi="Times New Roman" w:cs="Times New Roman"/>
          <w:lang w:val="en-US"/>
        </w:rPr>
        <w:t>un</w:t>
      </w:r>
      <w:r w:rsidR="005D0874" w:rsidRPr="0069088C">
        <w:rPr>
          <w:rFonts w:ascii="Times New Roman" w:hAnsi="Times New Roman" w:cs="Times New Roman"/>
          <w:lang w:val="en-US"/>
        </w:rPr>
        <w:t xml:space="preserve">treated. For AMO and </w:t>
      </w:r>
      <w:r w:rsidR="007D765F" w:rsidRPr="0069088C">
        <w:rPr>
          <w:rFonts w:ascii="Times New Roman" w:hAnsi="Times New Roman" w:cs="Times New Roman"/>
          <w:lang w:val="en-US"/>
        </w:rPr>
        <w:t>ERY</w:t>
      </w:r>
      <w:r w:rsidR="005D0874" w:rsidRPr="0069088C">
        <w:rPr>
          <w:rFonts w:ascii="Times New Roman" w:hAnsi="Times New Roman" w:cs="Times New Roman"/>
          <w:lang w:val="en-US"/>
        </w:rPr>
        <w:t xml:space="preserve">, most of the results were antagonistic, with a higher survival than the monotherapies, while the GEN presented synergistic and antagonistic results, mainly depending on the concentration of the antibiotic used, and the higher the concentration, the survival decreases for both applied light doses. </w:t>
      </w:r>
      <w:r w:rsidR="002A31CC" w:rsidRPr="0069088C">
        <w:rPr>
          <w:rFonts w:ascii="Times New Roman" w:hAnsi="Times New Roman" w:cs="Times New Roman"/>
          <w:lang w:val="en-US"/>
        </w:rPr>
        <w:t xml:space="preserve">In general, antibiotic irradiation in the simultaneous internalization protocol leads to mostly antagonistic results, as there are smaller reductions in bacterial mortality arising from the interaction between curcumin and antibiotics in order to reduce availability for antimicrobial action. </w:t>
      </w:r>
      <w:r w:rsidR="005D0874" w:rsidRPr="0069088C">
        <w:rPr>
          <w:rFonts w:ascii="Times New Roman" w:hAnsi="Times New Roman" w:cs="Times New Roman"/>
          <w:lang w:val="en-US"/>
        </w:rPr>
        <w:t>These results demonstrate that not only the concentrations of antibiotics, but the PS and the light dose influence the achievement of synergistic results, but the protocol applied can be decisive.</w:t>
      </w:r>
    </w:p>
    <w:p w14:paraId="3A18B2D8" w14:textId="77777777" w:rsidR="005D0874" w:rsidRPr="0069088C" w:rsidRDefault="005D0874" w:rsidP="007B4A77">
      <w:pPr>
        <w:rPr>
          <w:rFonts w:ascii="Times New Roman" w:hAnsi="Times New Roman" w:cs="Times New Roman"/>
          <w:lang w:val="en-US"/>
        </w:rPr>
      </w:pPr>
    </w:p>
    <w:p w14:paraId="01818E90" w14:textId="69F615C7" w:rsidR="007B4A77" w:rsidRPr="0069088C" w:rsidRDefault="00E476AF" w:rsidP="007B4A77">
      <w:pPr>
        <w:ind w:firstLine="432"/>
        <w:jc w:val="center"/>
        <w:rPr>
          <w:rFonts w:ascii="Times New Roman" w:hAnsi="Times New Roman" w:cs="Times New Roman"/>
        </w:rPr>
      </w:pPr>
      <w:r w:rsidRPr="0069088C">
        <w:rPr>
          <w:rFonts w:ascii="Times New Roman" w:hAnsi="Times New Roman" w:cs="Times New Roman"/>
          <w:noProof/>
        </w:rPr>
        <w:lastRenderedPageBreak/>
        <w:drawing>
          <wp:inline distT="0" distB="0" distL="0" distR="0" wp14:anchorId="20AE5E25" wp14:editId="6DE80F48">
            <wp:extent cx="3362325" cy="8032106"/>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3275" cy="8058263"/>
                    </a:xfrm>
                    <a:prstGeom prst="rect">
                      <a:avLst/>
                    </a:prstGeom>
                  </pic:spPr>
                </pic:pic>
              </a:graphicData>
            </a:graphic>
          </wp:inline>
        </w:drawing>
      </w:r>
    </w:p>
    <w:p w14:paraId="2AE07F54" w14:textId="1C136FAB" w:rsidR="007B4A77" w:rsidRPr="0069088C" w:rsidRDefault="008E461A" w:rsidP="004439C6">
      <w:pPr>
        <w:pBdr>
          <w:top w:val="nil"/>
          <w:left w:val="nil"/>
          <w:bottom w:val="nil"/>
          <w:right w:val="nil"/>
          <w:between w:val="nil"/>
        </w:pBdr>
        <w:spacing w:after="200" w:line="240" w:lineRule="auto"/>
        <w:rPr>
          <w:rFonts w:ascii="Times New Roman" w:hAnsi="Times New Roman" w:cs="Times New Roman"/>
          <w:lang w:val="en-US"/>
        </w:rPr>
      </w:pPr>
      <w:r w:rsidRPr="0069088C">
        <w:rPr>
          <w:rFonts w:ascii="Times New Roman" w:hAnsi="Times New Roman" w:cs="Times New Roman"/>
          <w:color w:val="000000"/>
          <w:sz w:val="20"/>
          <w:szCs w:val="20"/>
          <w:lang w:val="en-US"/>
        </w:rPr>
        <w:t>Figure</w:t>
      </w:r>
      <w:r w:rsidR="007B4A77" w:rsidRPr="0069088C">
        <w:rPr>
          <w:rFonts w:ascii="Times New Roman" w:hAnsi="Times New Roman" w:cs="Times New Roman"/>
          <w:color w:val="000000"/>
          <w:sz w:val="20"/>
          <w:szCs w:val="20"/>
          <w:lang w:val="en-US"/>
        </w:rPr>
        <w:t xml:space="preserve"> 2 </w:t>
      </w:r>
      <w:r w:rsidR="009945ED" w:rsidRPr="0069088C">
        <w:rPr>
          <w:rFonts w:ascii="Times New Roman" w:hAnsi="Times New Roman" w:cs="Times New Roman"/>
          <w:color w:val="000000"/>
          <w:sz w:val="20"/>
          <w:szCs w:val="20"/>
          <w:lang w:val="en-US"/>
        </w:rPr>
        <w:t xml:space="preserve">Survival curve of combined treatments by oxidative stress (PDI/ANTB) and Simultaneous </w:t>
      </w:r>
      <w:r w:rsidR="0081354A" w:rsidRPr="0069088C">
        <w:rPr>
          <w:rFonts w:ascii="Times New Roman" w:hAnsi="Times New Roman" w:cs="Times New Roman"/>
          <w:color w:val="000000"/>
          <w:sz w:val="20"/>
          <w:szCs w:val="20"/>
          <w:lang w:val="en-US"/>
        </w:rPr>
        <w:t>internalization (</w:t>
      </w:r>
      <w:r w:rsidR="009945ED" w:rsidRPr="0069088C">
        <w:rPr>
          <w:rFonts w:ascii="Times New Roman" w:hAnsi="Times New Roman" w:cs="Times New Roman"/>
          <w:color w:val="000000"/>
          <w:sz w:val="20"/>
          <w:szCs w:val="20"/>
          <w:lang w:val="en-US"/>
        </w:rPr>
        <w:t xml:space="preserve">PDI+ANTB), being applied 10 </w:t>
      </w:r>
      <w:r w:rsidR="009945ED" w:rsidRPr="0069088C">
        <w:rPr>
          <w:rFonts w:ascii="Times New Roman" w:hAnsi="Times New Roman" w:cs="Times New Roman"/>
          <w:color w:val="000000"/>
          <w:sz w:val="20"/>
          <w:szCs w:val="20"/>
        </w:rPr>
        <w:t>μ</w:t>
      </w:r>
      <w:r w:rsidR="009945ED" w:rsidRPr="0069088C">
        <w:rPr>
          <w:rFonts w:ascii="Times New Roman" w:hAnsi="Times New Roman" w:cs="Times New Roman"/>
          <w:color w:val="000000"/>
          <w:sz w:val="20"/>
          <w:szCs w:val="20"/>
          <w:lang w:val="en-US"/>
        </w:rPr>
        <w:t xml:space="preserve">M of curcumin and 10 and 20 </w:t>
      </w:r>
      <w:r w:rsidR="007B4A77" w:rsidRPr="0069088C">
        <w:rPr>
          <w:rFonts w:ascii="Times New Roman" w:hAnsi="Times New Roman" w:cs="Times New Roman"/>
          <w:color w:val="000000"/>
          <w:sz w:val="20"/>
          <w:szCs w:val="20"/>
          <w:lang w:val="en-US"/>
        </w:rPr>
        <w:t xml:space="preserve">J/cm².  A) </w:t>
      </w:r>
      <w:r w:rsidR="004439C6" w:rsidRPr="0069088C">
        <w:rPr>
          <w:rFonts w:ascii="Times New Roman" w:hAnsi="Times New Roman" w:cs="Times New Roman"/>
          <w:color w:val="000000"/>
          <w:sz w:val="20"/>
          <w:szCs w:val="20"/>
          <w:lang w:val="en-US"/>
        </w:rPr>
        <w:t>Amoxicillin, B) Erythromycin, C) Gentamycin. The normalizations are for untreated bacteria. * indicates synergistic combination for Bliss independence.</w:t>
      </w:r>
    </w:p>
    <w:p w14:paraId="73806924" w14:textId="0D723487" w:rsidR="005D0874" w:rsidRPr="0069088C" w:rsidRDefault="005D0874" w:rsidP="005D0874">
      <w:pPr>
        <w:rPr>
          <w:rFonts w:ascii="Times New Roman" w:hAnsi="Times New Roman" w:cs="Times New Roman"/>
          <w:i/>
          <w:iCs/>
          <w:lang w:val="en-US"/>
        </w:rPr>
      </w:pPr>
      <w:r w:rsidRPr="0069088C">
        <w:rPr>
          <w:rFonts w:ascii="Times New Roman" w:hAnsi="Times New Roman" w:cs="Times New Roman"/>
          <w:i/>
          <w:iCs/>
          <w:lang w:val="en-US"/>
        </w:rPr>
        <w:lastRenderedPageBreak/>
        <w:t>DYNAMICS OF BACTERIA INTERACTION WITH PHOTOSENSITIZERS AND ANTIBIOTICS</w:t>
      </w:r>
    </w:p>
    <w:p w14:paraId="204E84AA" w14:textId="5A371F7E" w:rsidR="005D0874" w:rsidRPr="0069088C" w:rsidRDefault="005D0874" w:rsidP="005D0874">
      <w:pPr>
        <w:rPr>
          <w:rFonts w:ascii="Times New Roman" w:hAnsi="Times New Roman" w:cs="Times New Roman"/>
          <w:lang w:val="en-US"/>
        </w:rPr>
      </w:pPr>
      <w:r w:rsidRPr="0069088C">
        <w:rPr>
          <w:rFonts w:ascii="Times New Roman" w:hAnsi="Times New Roman" w:cs="Times New Roman"/>
          <w:lang w:val="en-US"/>
        </w:rPr>
        <w:t xml:space="preserve">Based on the results of mostly antagonistic </w:t>
      </w:r>
      <w:r w:rsidR="00F65B41" w:rsidRPr="0069088C">
        <w:rPr>
          <w:rFonts w:ascii="Times New Roman" w:hAnsi="Times New Roman" w:cs="Times New Roman"/>
          <w:lang w:val="en-US"/>
        </w:rPr>
        <w:t>s</w:t>
      </w:r>
      <w:r w:rsidR="009945ED" w:rsidRPr="0069088C">
        <w:rPr>
          <w:rFonts w:ascii="Times New Roman" w:hAnsi="Times New Roman" w:cs="Times New Roman"/>
          <w:lang w:val="en-US"/>
        </w:rPr>
        <w:t xml:space="preserve">imultaneous </w:t>
      </w:r>
      <w:r w:rsidR="00FF39F4" w:rsidRPr="0069088C">
        <w:rPr>
          <w:rFonts w:ascii="Times New Roman" w:hAnsi="Times New Roman" w:cs="Times New Roman"/>
          <w:lang w:val="en-US"/>
        </w:rPr>
        <w:t>internalization,</w:t>
      </w:r>
      <w:r w:rsidRPr="0069088C">
        <w:rPr>
          <w:rFonts w:ascii="Times New Roman" w:hAnsi="Times New Roman" w:cs="Times New Roman"/>
          <w:lang w:val="en-US"/>
        </w:rPr>
        <w:t xml:space="preserve"> the mechanism of curcumin and antibiotic interaction followed by irradiation was investigated using confocal fluorescence microscopy. In Figure 3.A shows the kinetics of incorporation of curcumin alone and with the presence of the antibiotics AMO, </w:t>
      </w:r>
      <w:r w:rsidR="007D765F" w:rsidRPr="0069088C">
        <w:rPr>
          <w:rFonts w:ascii="Times New Roman" w:hAnsi="Times New Roman" w:cs="Times New Roman"/>
          <w:lang w:val="en-US"/>
        </w:rPr>
        <w:t>ERY</w:t>
      </w:r>
      <w:r w:rsidRPr="0069088C">
        <w:rPr>
          <w:rFonts w:ascii="Times New Roman" w:hAnsi="Times New Roman" w:cs="Times New Roman"/>
          <w:lang w:val="en-US"/>
        </w:rPr>
        <w:t xml:space="preserve"> and GEN. Comparatively, curcumin alone has a kinetic behavior distinct from the presence and absence of antibiotics. For curcumin alone, the initial concentration incorporated (t=0 min) is 40% lower, but the increase in incorporation is up to 2.5-fold, a proportion similar to the presence of antibiotics. The bacteria with CUR and </w:t>
      </w:r>
      <w:r w:rsidR="007D765F" w:rsidRPr="0069088C">
        <w:rPr>
          <w:rFonts w:ascii="Times New Roman" w:hAnsi="Times New Roman" w:cs="Times New Roman"/>
          <w:lang w:val="en-US"/>
        </w:rPr>
        <w:t>ERY</w:t>
      </w:r>
      <w:r w:rsidRPr="0069088C">
        <w:rPr>
          <w:rFonts w:ascii="Times New Roman" w:hAnsi="Times New Roman" w:cs="Times New Roman"/>
          <w:lang w:val="en-US"/>
        </w:rPr>
        <w:t xml:space="preserve"> have an immediate internalization dynamic, while CUR alone and in the presence of AMO and GEN has a minimum time to start active incorporation, and over this time there are indications of a disturbance in the permeability control of the membrane, as the fluorescence intensity of internalized curcumin decreases.</w:t>
      </w:r>
    </w:p>
    <w:p w14:paraId="7F442786" w14:textId="77634808" w:rsidR="005D0874" w:rsidRPr="0069088C" w:rsidRDefault="005D0874" w:rsidP="005D0874">
      <w:pPr>
        <w:rPr>
          <w:rFonts w:ascii="Times New Roman" w:hAnsi="Times New Roman" w:cs="Times New Roman"/>
          <w:lang w:val="en-US"/>
        </w:rPr>
      </w:pPr>
      <w:r w:rsidRPr="0069088C">
        <w:rPr>
          <w:rFonts w:ascii="Times New Roman" w:hAnsi="Times New Roman" w:cs="Times New Roman"/>
          <w:lang w:val="en-US"/>
        </w:rPr>
        <w:t>In Figure 3.B, the photodegradation action of curcumin incorporated by the bacteria is more pronounced for curcumin alone, with a 1.75-fold decrease in fluorescence intensity than in the presence of antibiotic</w:t>
      </w:r>
      <w:r w:rsidR="002A31CC" w:rsidRPr="0069088C">
        <w:rPr>
          <w:rFonts w:ascii="Times New Roman" w:hAnsi="Times New Roman" w:cs="Times New Roman"/>
          <w:lang w:val="en-US"/>
        </w:rPr>
        <w:t xml:space="preserve"> (Figure S1</w:t>
      </w:r>
      <w:r w:rsidR="00E63806" w:rsidRPr="0069088C">
        <w:rPr>
          <w:rFonts w:ascii="Times New Roman" w:hAnsi="Times New Roman" w:cs="Times New Roman"/>
          <w:lang w:val="en-US"/>
        </w:rPr>
        <w:t>)</w:t>
      </w:r>
      <w:r w:rsidRPr="0069088C">
        <w:rPr>
          <w:rFonts w:ascii="Times New Roman" w:hAnsi="Times New Roman" w:cs="Times New Roman"/>
          <w:lang w:val="en-US"/>
        </w:rPr>
        <w:t xml:space="preserve">. This effect is related to photodegradation of </w:t>
      </w:r>
      <w:r w:rsidR="00E500A9" w:rsidRPr="0069088C">
        <w:rPr>
          <w:rFonts w:ascii="Times New Roman" w:hAnsi="Times New Roman" w:cs="Times New Roman"/>
          <w:lang w:val="en-US"/>
        </w:rPr>
        <w:t>PS</w:t>
      </w:r>
      <w:r w:rsidRPr="0069088C">
        <w:rPr>
          <w:rFonts w:ascii="Times New Roman" w:hAnsi="Times New Roman" w:cs="Times New Roman"/>
          <w:lang w:val="en-US"/>
        </w:rPr>
        <w:t xml:space="preserve"> resulting in the production of ROS, which is more prominent for curcumin alone</w:t>
      </w:r>
      <w:r w:rsidR="008E461A" w:rsidRPr="0069088C">
        <w:rPr>
          <w:rFonts w:ascii="Times New Roman" w:hAnsi="Times New Roman" w:cs="Times New Roman"/>
          <w:lang w:val="en-US"/>
        </w:rPr>
        <w:t>, Figure 3.C-E</w:t>
      </w:r>
      <w:r w:rsidRPr="0069088C">
        <w:rPr>
          <w:rFonts w:ascii="Times New Roman" w:hAnsi="Times New Roman" w:cs="Times New Roman"/>
          <w:lang w:val="en-US"/>
        </w:rPr>
        <w:t>. The recovery time of internalized curcumin with a maximum of 85% is 2.1 min, while in the presence of antibiotics the average recovery rate was approximately 70% in 0.4 min, being faster as expected considering that the presence of antibiotics facilitat</w:t>
      </w:r>
      <w:r w:rsidR="002A31CC" w:rsidRPr="0069088C">
        <w:rPr>
          <w:rFonts w:ascii="Times New Roman" w:hAnsi="Times New Roman" w:cs="Times New Roman"/>
          <w:lang w:val="en-US"/>
        </w:rPr>
        <w:t>es the internalization of the PS</w:t>
      </w:r>
      <w:r w:rsidRPr="0069088C">
        <w:rPr>
          <w:rFonts w:ascii="Times New Roman" w:hAnsi="Times New Roman" w:cs="Times New Roman"/>
          <w:lang w:val="en-US"/>
        </w:rPr>
        <w:t>, but does not necessarily favor the PDI.</w:t>
      </w:r>
      <w:r w:rsidR="0005298B" w:rsidRPr="0069088C">
        <w:rPr>
          <w:rFonts w:ascii="Times New Roman" w:hAnsi="Times New Roman" w:cs="Times New Roman"/>
          <w:lang w:val="en-US"/>
        </w:rPr>
        <w:t xml:space="preserve"> The low photodegradation of curcumin in the presence of antibiotics may be related to the decrease in ROS production, which is in agreement with the results shown above (Figure 2), since the simultaneous internalization protocol has a lower antimicrobial effect.</w:t>
      </w:r>
    </w:p>
    <w:p w14:paraId="0119B9B5" w14:textId="39E44C6F" w:rsidR="005D0874" w:rsidRPr="0069088C" w:rsidRDefault="00027A4E" w:rsidP="00875A45">
      <w:pPr>
        <w:keepNext/>
        <w:jc w:val="center"/>
        <w:rPr>
          <w:rFonts w:ascii="Times New Roman" w:hAnsi="Times New Roman" w:cs="Times New Roman"/>
        </w:rPr>
      </w:pPr>
      <w:r w:rsidRPr="0069088C">
        <w:rPr>
          <w:rFonts w:ascii="Times New Roman" w:hAnsi="Times New Roman" w:cs="Times New Roman"/>
          <w:noProof/>
        </w:rPr>
        <w:lastRenderedPageBreak/>
        <w:drawing>
          <wp:inline distT="0" distB="0" distL="0" distR="0" wp14:anchorId="06551D90" wp14:editId="40CC1305">
            <wp:extent cx="5400040" cy="39122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
                      <a:extLst>
                        <a:ext uri="{28A0092B-C50C-407E-A947-70E740481C1C}">
                          <a14:useLocalDpi xmlns:a14="http://schemas.microsoft.com/office/drawing/2010/main" val="0"/>
                        </a:ext>
                      </a:extLst>
                    </a:blip>
                    <a:stretch>
                      <a:fillRect/>
                    </a:stretch>
                  </pic:blipFill>
                  <pic:spPr>
                    <a:xfrm>
                      <a:off x="0" y="0"/>
                      <a:ext cx="5400040" cy="3912235"/>
                    </a:xfrm>
                    <a:prstGeom prst="rect">
                      <a:avLst/>
                    </a:prstGeom>
                  </pic:spPr>
                </pic:pic>
              </a:graphicData>
            </a:graphic>
          </wp:inline>
        </w:drawing>
      </w:r>
    </w:p>
    <w:p w14:paraId="52F5F473" w14:textId="53D23200" w:rsidR="005D0874" w:rsidRPr="0069088C" w:rsidRDefault="008E461A" w:rsidP="005D0874">
      <w:pPr>
        <w:pBdr>
          <w:top w:val="nil"/>
          <w:left w:val="nil"/>
          <w:bottom w:val="nil"/>
          <w:right w:val="nil"/>
          <w:between w:val="nil"/>
        </w:pBdr>
        <w:spacing w:after="200" w:line="240" w:lineRule="auto"/>
        <w:rPr>
          <w:rFonts w:ascii="Times New Roman" w:hAnsi="Times New Roman" w:cs="Times New Roman"/>
          <w:color w:val="000000"/>
          <w:sz w:val="20"/>
          <w:szCs w:val="20"/>
          <w:lang w:val="en-US"/>
        </w:rPr>
      </w:pPr>
      <w:r w:rsidRPr="0069088C">
        <w:rPr>
          <w:rFonts w:ascii="Times New Roman" w:hAnsi="Times New Roman" w:cs="Times New Roman"/>
          <w:color w:val="000000"/>
          <w:sz w:val="20"/>
          <w:szCs w:val="20"/>
          <w:lang w:val="en-US"/>
        </w:rPr>
        <w:t>Figure</w:t>
      </w:r>
      <w:r w:rsidR="005D0874" w:rsidRPr="0069088C">
        <w:rPr>
          <w:rFonts w:ascii="Times New Roman" w:hAnsi="Times New Roman" w:cs="Times New Roman"/>
          <w:color w:val="000000"/>
          <w:sz w:val="20"/>
          <w:szCs w:val="20"/>
          <w:lang w:val="en-US"/>
        </w:rPr>
        <w:t xml:space="preserve"> 3 </w:t>
      </w:r>
      <w:r w:rsidRPr="0069088C">
        <w:rPr>
          <w:rFonts w:ascii="Times New Roman" w:hAnsi="Times New Roman" w:cs="Times New Roman"/>
          <w:color w:val="000000"/>
          <w:sz w:val="20"/>
          <w:szCs w:val="20"/>
          <w:lang w:val="en-US"/>
        </w:rPr>
        <w:t xml:space="preserve">Confocal microscopy data of 10 </w:t>
      </w:r>
      <w:r w:rsidRPr="0069088C">
        <w:rPr>
          <w:rFonts w:ascii="Times New Roman" w:hAnsi="Times New Roman" w:cs="Times New Roman"/>
          <w:color w:val="000000"/>
          <w:sz w:val="20"/>
          <w:szCs w:val="20"/>
        </w:rPr>
        <w:t>μ</w:t>
      </w:r>
      <w:r w:rsidRPr="0069088C">
        <w:rPr>
          <w:rFonts w:ascii="Times New Roman" w:hAnsi="Times New Roman" w:cs="Times New Roman"/>
          <w:color w:val="000000"/>
          <w:sz w:val="20"/>
          <w:szCs w:val="20"/>
          <w:lang w:val="en-US"/>
        </w:rPr>
        <w:t xml:space="preserve">M curcumin fluorescence in </w:t>
      </w:r>
      <w:r w:rsidRPr="0069088C">
        <w:rPr>
          <w:rFonts w:ascii="Times New Roman" w:hAnsi="Times New Roman" w:cs="Times New Roman"/>
          <w:i/>
          <w:iCs/>
          <w:color w:val="000000"/>
          <w:sz w:val="20"/>
          <w:szCs w:val="20"/>
          <w:lang w:val="en-US"/>
        </w:rPr>
        <w:t>S. aureus</w:t>
      </w:r>
      <w:r w:rsidRPr="0069088C">
        <w:rPr>
          <w:rFonts w:ascii="Times New Roman" w:hAnsi="Times New Roman" w:cs="Times New Roman"/>
          <w:color w:val="000000"/>
          <w:sz w:val="20"/>
          <w:szCs w:val="20"/>
          <w:lang w:val="en-US"/>
        </w:rPr>
        <w:t xml:space="preserve"> and with the presence of the antibiotics amoxicillin, erythromycin and gentamicin. A) Kinetics of curcumin incorporation. B) Fluorescence Recovery After Photodegradation (FRAP) of curcumin. Image of photodegradation of internalized curcumin with 63x magnification and channel mode with timelapse C) 1min7s D) 2min7s and E) 10min1s. </w:t>
      </w:r>
    </w:p>
    <w:p w14:paraId="120127E5" w14:textId="0CAD977A" w:rsidR="00F41382" w:rsidRPr="0069088C" w:rsidRDefault="001C22D4" w:rsidP="00F41382">
      <w:pPr>
        <w:rPr>
          <w:rFonts w:ascii="Times New Roman" w:hAnsi="Times New Roman" w:cs="Times New Roman"/>
          <w:lang w:val="en-US"/>
        </w:rPr>
      </w:pPr>
      <w:r w:rsidRPr="0069088C">
        <w:rPr>
          <w:rFonts w:ascii="Times New Roman" w:hAnsi="Times New Roman" w:cs="Times New Roman"/>
          <w:i/>
          <w:iCs/>
          <w:lang w:val="en-US"/>
        </w:rPr>
        <w:t xml:space="preserve">BACTERIAL RESPONSE TO TREATMENT CYCLE - </w:t>
      </w:r>
      <w:r w:rsidRPr="0069088C">
        <w:rPr>
          <w:rFonts w:ascii="Times New Roman" w:hAnsi="Times New Roman" w:cs="Times New Roman"/>
          <w:lang w:val="en-US"/>
        </w:rPr>
        <w:t xml:space="preserve">In clinical practice, ANTBs are administered periodically, thus combining treatment cycles for 30 h were simulated, shown in Figure 4. PDI monotherapy in the first hours has a survival result equivalent to ANTB monotherapy, but over time </w:t>
      </w:r>
      <w:r w:rsidR="00E500A9" w:rsidRPr="0069088C">
        <w:rPr>
          <w:rFonts w:ascii="Times New Roman" w:hAnsi="Times New Roman" w:cs="Times New Roman"/>
          <w:lang w:val="en-US"/>
        </w:rPr>
        <w:t>PDI</w:t>
      </w:r>
      <w:r w:rsidRPr="0069088C">
        <w:rPr>
          <w:rFonts w:ascii="Times New Roman" w:hAnsi="Times New Roman" w:cs="Times New Roman"/>
          <w:lang w:val="en-US"/>
        </w:rPr>
        <w:t xml:space="preserve"> remains with the response constant while the survival of the antibiotic therapy group declines. Figure 4.A shows the survival of </w:t>
      </w:r>
      <w:r w:rsidR="006615DC" w:rsidRPr="0069088C">
        <w:rPr>
          <w:rFonts w:ascii="Times New Roman" w:hAnsi="Times New Roman" w:cs="Times New Roman"/>
          <w:i/>
          <w:lang w:val="en-US"/>
        </w:rPr>
        <w:t>S. aureus</w:t>
      </w:r>
      <w:r w:rsidRPr="0069088C">
        <w:rPr>
          <w:rFonts w:ascii="Times New Roman" w:hAnsi="Times New Roman" w:cs="Times New Roman"/>
          <w:lang w:val="en-US"/>
        </w:rPr>
        <w:t xml:space="preserve"> </w:t>
      </w:r>
      <w:r w:rsidR="00F41382" w:rsidRPr="0069088C">
        <w:rPr>
          <w:rFonts w:ascii="Times New Roman" w:hAnsi="Times New Roman" w:cs="Times New Roman"/>
          <w:lang w:val="en-US"/>
        </w:rPr>
        <w:t>in combined treatment consisted of alternating every 6 h between PDI and antibiotic therapy (PDI/ANTB). In the first hours the bacterial cells are more weakened due to the fast action of the PDI favoring the action of the ANTB presenting a lower survival when compared to the monotherapies. However, over time there was a greater survival of the bacteria treated with alternate therapies when compared to antibiotic therapy. That is, the result presented shows that alternating treatments for long periods is more effective when compared to PDI monotherapy, but antibiotic therapy is superior to these two protocols.</w:t>
      </w:r>
    </w:p>
    <w:p w14:paraId="74B6772C" w14:textId="7CE6F34A" w:rsidR="00F41382" w:rsidRPr="0069088C" w:rsidRDefault="001C22D4" w:rsidP="00F41382">
      <w:pPr>
        <w:rPr>
          <w:rFonts w:ascii="Times New Roman" w:hAnsi="Times New Roman" w:cs="Times New Roman"/>
          <w:lang w:val="en-US"/>
        </w:rPr>
      </w:pPr>
      <w:r w:rsidRPr="0069088C">
        <w:rPr>
          <w:rFonts w:ascii="Times New Roman" w:hAnsi="Times New Roman" w:cs="Times New Roman"/>
          <w:lang w:val="en-US"/>
        </w:rPr>
        <w:lastRenderedPageBreak/>
        <w:t xml:space="preserve">In Figure 4.B, </w:t>
      </w:r>
      <w:r w:rsidR="00F41382" w:rsidRPr="0069088C">
        <w:rPr>
          <w:rFonts w:ascii="Times New Roman" w:hAnsi="Times New Roman" w:cs="Times New Roman"/>
          <w:lang w:val="en-US"/>
        </w:rPr>
        <w:t>the bacteria was treated with the combination of PDI and ANTB every 6 hours, using the oxidative stress protocol that proved to be more effective (PDI+ANTB). The result shows that the combination of therapies significantly reduces the survival of the bacteria compared to monotherapies, given that the mechanism of action of PDI is immediate in bacterial cells and the action of ANTBs is effective over time.</w:t>
      </w:r>
      <w:r w:rsidR="00B213EC" w:rsidRPr="0069088C">
        <w:rPr>
          <w:rFonts w:ascii="Times New Roman" w:hAnsi="Times New Roman" w:cs="Times New Roman"/>
          <w:lang w:val="en-US"/>
        </w:rPr>
        <w:t xml:space="preserve"> The result of the concomitant cycle stands out as a better protocol, for example in time and 12 hs the PDI monotherapy has a reduction of bacterial survival of 20% and for ANTB an average of 21%, but for the concomitant cycle the reduction is on average of 52%, that is, the answer not an additive effect of the PDI and ANTB monotherapies, but superior.</w:t>
      </w:r>
    </w:p>
    <w:p w14:paraId="0A0ACDE2" w14:textId="77777777" w:rsidR="00F41382" w:rsidRPr="0069088C" w:rsidRDefault="00F41382" w:rsidP="00F41382">
      <w:pPr>
        <w:rPr>
          <w:rFonts w:ascii="Times New Roman" w:hAnsi="Times New Roman" w:cs="Times New Roman"/>
          <w:lang w:val="en-US"/>
        </w:rPr>
      </w:pPr>
      <w:r w:rsidRPr="0069088C">
        <w:rPr>
          <w:rFonts w:ascii="Times New Roman" w:hAnsi="Times New Roman" w:cs="Times New Roman"/>
          <w:lang w:val="en-US"/>
        </w:rPr>
        <w:t>Colonies surviving after 12 h of treatment cycles were submitted to FTIR spectroscopy to evaluate the effect of monotherapies and combinations on the vibrational bonds of biomolecules present on the bacterial cell surface, Figure 4.C-E. The region 900 – 1200 cm</w:t>
      </w:r>
      <w:r w:rsidRPr="0069088C">
        <w:rPr>
          <w:rFonts w:ascii="Times New Roman" w:hAnsi="Times New Roman" w:cs="Times New Roman"/>
          <w:vertAlign w:val="superscript"/>
          <w:lang w:val="en-US"/>
        </w:rPr>
        <w:t>-1</w:t>
      </w:r>
      <w:r w:rsidRPr="0069088C">
        <w:rPr>
          <w:rFonts w:ascii="Times New Roman" w:hAnsi="Times New Roman" w:cs="Times New Roman"/>
          <w:lang w:val="en-US"/>
        </w:rPr>
        <w:t xml:space="preserve"> corresponds to carbohydrates, and as shown in Figure 4.F, it maintained a similarity of 50% with the control, the </w:t>
      </w:r>
      <w:r w:rsidRPr="0069088C">
        <w:rPr>
          <w:rFonts w:ascii="Times New Roman" w:hAnsi="Times New Roman" w:cs="Times New Roman"/>
          <w:i/>
          <w:lang w:val="en-US"/>
        </w:rPr>
        <w:t>PDI</w:t>
      </w:r>
      <w:r w:rsidRPr="0069088C">
        <w:rPr>
          <w:rFonts w:ascii="Times New Roman" w:hAnsi="Times New Roman" w:cs="Times New Roman"/>
          <w:lang w:val="en-US"/>
        </w:rPr>
        <w:t xml:space="preserve">, ERY and GEN monotherapy groups and the </w:t>
      </w:r>
      <w:r w:rsidRPr="0069088C">
        <w:rPr>
          <w:rFonts w:ascii="Times New Roman" w:hAnsi="Times New Roman" w:cs="Times New Roman"/>
          <w:i/>
          <w:lang w:val="en-US"/>
        </w:rPr>
        <w:t>PDI</w:t>
      </w:r>
      <w:r w:rsidRPr="0069088C">
        <w:rPr>
          <w:rFonts w:ascii="Times New Roman" w:hAnsi="Times New Roman" w:cs="Times New Roman"/>
          <w:lang w:val="en-US"/>
        </w:rPr>
        <w:t xml:space="preserve">+ERY combination. For the other combinations including AMO monotherapy, carbohydrates were different from controls. Regarding carbohydrates, it was observed that the only group that did not show any similarity with the control was monotherapy with GEN, an antibiotic that acts on protein synthesis, despite the PDI+GEN group having a similarity of approximately 80% with the control as shown in Figure 4.G. In Figure 4.H both groups do not share similarity with the control regarding fatty acids, and the AMO, </w:t>
      </w:r>
      <w:r w:rsidRPr="0069088C">
        <w:rPr>
          <w:rFonts w:ascii="Times New Roman" w:hAnsi="Times New Roman" w:cs="Times New Roman"/>
          <w:i/>
          <w:lang w:val="en-US"/>
        </w:rPr>
        <w:t>PDI</w:t>
      </w:r>
      <w:r w:rsidRPr="0069088C">
        <w:rPr>
          <w:rFonts w:ascii="Times New Roman" w:hAnsi="Times New Roman" w:cs="Times New Roman"/>
          <w:lang w:val="en-US"/>
        </w:rPr>
        <w:t xml:space="preserve"> and </w:t>
      </w:r>
      <w:r w:rsidRPr="0069088C">
        <w:rPr>
          <w:rFonts w:ascii="Times New Roman" w:hAnsi="Times New Roman" w:cs="Times New Roman"/>
          <w:i/>
          <w:lang w:val="en-US"/>
        </w:rPr>
        <w:t>PDI</w:t>
      </w:r>
      <w:r w:rsidRPr="0069088C">
        <w:rPr>
          <w:rFonts w:ascii="Times New Roman" w:hAnsi="Times New Roman" w:cs="Times New Roman"/>
          <w:lang w:val="en-US"/>
        </w:rPr>
        <w:t>/GEN groups had a similarity of less than 50% with the control. In general, the application of any treatment, whether combined or monotherapy, affects the vibrational states of bacterial surface biomolecules.</w:t>
      </w:r>
    </w:p>
    <w:p w14:paraId="673F7985" w14:textId="7A98D3DF" w:rsidR="001C22D4" w:rsidRPr="0069088C" w:rsidRDefault="001C22D4" w:rsidP="001C22D4">
      <w:pPr>
        <w:rPr>
          <w:rFonts w:ascii="Times New Roman" w:hAnsi="Times New Roman" w:cs="Times New Roman"/>
          <w:lang w:val="en-US"/>
        </w:rPr>
      </w:pPr>
    </w:p>
    <w:p w14:paraId="7B67EEA7" w14:textId="63A84395" w:rsidR="001C22D4" w:rsidRPr="0069088C" w:rsidRDefault="001976F8" w:rsidP="001C22D4">
      <w:pPr>
        <w:rPr>
          <w:rFonts w:ascii="Times New Roman" w:hAnsi="Times New Roman" w:cs="Times New Roman"/>
        </w:rPr>
      </w:pPr>
      <w:r w:rsidRPr="0069088C">
        <w:rPr>
          <w:rFonts w:ascii="Times New Roman" w:hAnsi="Times New Roman" w:cs="Times New Roman"/>
          <w:noProof/>
        </w:rPr>
        <w:lastRenderedPageBreak/>
        <w:drawing>
          <wp:inline distT="0" distB="0" distL="0" distR="0" wp14:anchorId="4935984D" wp14:editId="1F6B68C3">
            <wp:extent cx="5400040" cy="71520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152005"/>
                    </a:xfrm>
                    <a:prstGeom prst="rect">
                      <a:avLst/>
                    </a:prstGeom>
                  </pic:spPr>
                </pic:pic>
              </a:graphicData>
            </a:graphic>
          </wp:inline>
        </w:drawing>
      </w:r>
    </w:p>
    <w:p w14:paraId="5D3B7D8B" w14:textId="6939DC10" w:rsidR="001C22D4" w:rsidRPr="0069088C" w:rsidRDefault="002618A4" w:rsidP="001C22D4">
      <w:pPr>
        <w:pStyle w:val="Legenda"/>
        <w:rPr>
          <w:rFonts w:ascii="Times New Roman" w:hAnsi="Times New Roman" w:cs="Times New Roman"/>
          <w:lang w:val="en-US"/>
        </w:rPr>
      </w:pPr>
      <w:r w:rsidRPr="0069088C">
        <w:rPr>
          <w:rFonts w:ascii="Times New Roman" w:hAnsi="Times New Roman" w:cs="Times New Roman"/>
          <w:color w:val="000000"/>
          <w:szCs w:val="20"/>
          <w:lang w:val="en-US"/>
        </w:rPr>
        <w:t>Figure</w:t>
      </w:r>
      <w:r w:rsidR="001C22D4" w:rsidRPr="0069088C">
        <w:rPr>
          <w:rFonts w:ascii="Times New Roman" w:hAnsi="Times New Roman" w:cs="Times New Roman"/>
          <w:color w:val="000000"/>
          <w:szCs w:val="20"/>
          <w:lang w:val="en-US"/>
        </w:rPr>
        <w:t xml:space="preserve"> 4 </w:t>
      </w:r>
      <w:r w:rsidR="004439C6" w:rsidRPr="0069088C">
        <w:rPr>
          <w:rFonts w:ascii="Times New Roman" w:hAnsi="Times New Roman" w:cs="Times New Roman"/>
          <w:color w:val="000000"/>
          <w:szCs w:val="20"/>
          <w:lang w:val="en-US"/>
        </w:rPr>
        <w:t xml:space="preserve">Treatment cycle. PDI with 10 </w:t>
      </w:r>
      <w:r w:rsidR="004439C6" w:rsidRPr="0069088C">
        <w:rPr>
          <w:rFonts w:ascii="Times New Roman" w:hAnsi="Times New Roman" w:cs="Times New Roman"/>
          <w:color w:val="000000"/>
          <w:szCs w:val="20"/>
        </w:rPr>
        <w:t>μ</w:t>
      </w:r>
      <w:r w:rsidR="004439C6" w:rsidRPr="0069088C">
        <w:rPr>
          <w:rFonts w:ascii="Times New Roman" w:hAnsi="Times New Roman" w:cs="Times New Roman"/>
          <w:color w:val="000000"/>
          <w:szCs w:val="20"/>
          <w:lang w:val="en-US"/>
        </w:rPr>
        <w:t xml:space="preserve">M of curcumin and </w:t>
      </w:r>
      <w:r w:rsidR="001C22D4" w:rsidRPr="0069088C">
        <w:rPr>
          <w:rFonts w:ascii="Times New Roman" w:hAnsi="Times New Roman" w:cs="Times New Roman"/>
          <w:color w:val="000000"/>
          <w:szCs w:val="20"/>
          <w:lang w:val="en-US"/>
        </w:rPr>
        <w:t xml:space="preserve">10 J/cm² </w:t>
      </w:r>
      <w:r w:rsidR="004439C6" w:rsidRPr="0069088C">
        <w:rPr>
          <w:rFonts w:ascii="Times New Roman" w:hAnsi="Times New Roman" w:cs="Times New Roman"/>
          <w:color w:val="000000"/>
          <w:szCs w:val="20"/>
          <w:lang w:val="en-US"/>
        </w:rPr>
        <w:t xml:space="preserve">colored red, antibiotic control group colored blue. The normalizations are for untreated bacteria. A) </w:t>
      </w:r>
      <w:r w:rsidR="00F41382" w:rsidRPr="0069088C">
        <w:rPr>
          <w:rFonts w:ascii="Times New Roman" w:hAnsi="Times New Roman" w:cs="Times New Roman"/>
          <w:color w:val="000000"/>
          <w:szCs w:val="20"/>
          <w:lang w:val="en-US"/>
        </w:rPr>
        <w:t>Combined treatment alternating every 6 hours starting with the PDI B) Combined</w:t>
      </w:r>
      <w:r w:rsidR="004439C6" w:rsidRPr="0069088C">
        <w:rPr>
          <w:rFonts w:ascii="Times New Roman" w:hAnsi="Times New Roman" w:cs="Times New Roman"/>
          <w:color w:val="000000"/>
          <w:szCs w:val="20"/>
          <w:lang w:val="en-US"/>
        </w:rPr>
        <w:t xml:space="preserve"> treatment </w:t>
      </w:r>
      <w:r w:rsidR="00F41382" w:rsidRPr="0069088C">
        <w:rPr>
          <w:rFonts w:ascii="Times New Roman" w:hAnsi="Times New Roman" w:cs="Times New Roman"/>
          <w:color w:val="000000"/>
          <w:szCs w:val="20"/>
          <w:lang w:val="en-US"/>
        </w:rPr>
        <w:t xml:space="preserve">concomitant </w:t>
      </w:r>
      <w:r w:rsidR="004439C6" w:rsidRPr="0069088C">
        <w:rPr>
          <w:rFonts w:ascii="Times New Roman" w:hAnsi="Times New Roman" w:cs="Times New Roman"/>
          <w:color w:val="000000"/>
          <w:szCs w:val="20"/>
          <w:lang w:val="en-US"/>
        </w:rPr>
        <w:t xml:space="preserve">every 6 hours.  FTIR absorbance spectrum of the surviving bacteria after 12 hours of the treatment cycle of the PDI, AMO, ERY and GEN monotherapies and the combined treatments sequentially every 6 hours (PDI+ANTB) and alternating every 6 hours starting (PDI/ANTB) for groups treated with C) amoxicillin, D) erythromycin, E) gentamicin. </w:t>
      </w:r>
      <w:r w:rsidR="004439C6" w:rsidRPr="0069088C">
        <w:rPr>
          <w:rFonts w:ascii="Times New Roman" w:hAnsi="Times New Roman" w:cs="Times New Roman"/>
          <w:lang w:val="en-US"/>
        </w:rPr>
        <w:t xml:space="preserve">Hierarchical Cluster Analysis of the 2nd derivative of the FTIR absorption spectrum of the regions </w:t>
      </w:r>
      <w:r w:rsidR="001C22D4" w:rsidRPr="0069088C">
        <w:rPr>
          <w:rFonts w:ascii="Times New Roman" w:hAnsi="Times New Roman" w:cs="Times New Roman"/>
          <w:lang w:val="en-US"/>
        </w:rPr>
        <w:t>F) 900 – 1200 cm</w:t>
      </w:r>
      <w:r w:rsidR="001C22D4" w:rsidRPr="0069088C">
        <w:rPr>
          <w:rFonts w:ascii="Times New Roman" w:hAnsi="Times New Roman" w:cs="Times New Roman"/>
          <w:vertAlign w:val="superscript"/>
          <w:lang w:val="en-US"/>
        </w:rPr>
        <w:t>-1</w:t>
      </w:r>
      <w:r w:rsidR="001C22D4" w:rsidRPr="0069088C">
        <w:rPr>
          <w:rFonts w:ascii="Times New Roman" w:hAnsi="Times New Roman" w:cs="Times New Roman"/>
          <w:lang w:val="en-US"/>
        </w:rPr>
        <w:t xml:space="preserve"> </w:t>
      </w:r>
      <w:r w:rsidR="004439C6" w:rsidRPr="0069088C">
        <w:rPr>
          <w:rFonts w:ascii="Times New Roman" w:hAnsi="Times New Roman" w:cs="Times New Roman"/>
          <w:lang w:val="en-US"/>
        </w:rPr>
        <w:t>corresponding to carbohydrates</w:t>
      </w:r>
      <w:r w:rsidR="001C22D4" w:rsidRPr="0069088C">
        <w:rPr>
          <w:rFonts w:ascii="Times New Roman" w:hAnsi="Times New Roman" w:cs="Times New Roman"/>
          <w:lang w:val="en-US"/>
        </w:rPr>
        <w:t>, G) 1500-1800 cm</w:t>
      </w:r>
      <w:r w:rsidR="001C22D4" w:rsidRPr="0069088C">
        <w:rPr>
          <w:rFonts w:ascii="Times New Roman" w:hAnsi="Times New Roman" w:cs="Times New Roman"/>
          <w:vertAlign w:val="superscript"/>
          <w:lang w:val="en-US"/>
        </w:rPr>
        <w:t>-1</w:t>
      </w:r>
      <w:r w:rsidR="001C22D4" w:rsidRPr="0069088C">
        <w:rPr>
          <w:rFonts w:ascii="Times New Roman" w:hAnsi="Times New Roman" w:cs="Times New Roman"/>
          <w:lang w:val="en-US"/>
        </w:rPr>
        <w:t xml:space="preserve"> </w:t>
      </w:r>
      <w:r w:rsidR="005A7E8D" w:rsidRPr="0069088C">
        <w:rPr>
          <w:rFonts w:ascii="Times New Roman" w:hAnsi="Times New Roman" w:cs="Times New Roman"/>
          <w:lang w:val="en-US"/>
        </w:rPr>
        <w:t xml:space="preserve">corresponding to proteins </w:t>
      </w:r>
      <w:r w:rsidR="001C22D4" w:rsidRPr="0069088C">
        <w:rPr>
          <w:rFonts w:ascii="Times New Roman" w:hAnsi="Times New Roman" w:cs="Times New Roman"/>
          <w:lang w:val="en-US"/>
        </w:rPr>
        <w:t>e H) 2500 – 2800 cm</w:t>
      </w:r>
      <w:r w:rsidR="001C22D4" w:rsidRPr="0069088C">
        <w:rPr>
          <w:rFonts w:ascii="Times New Roman" w:hAnsi="Times New Roman" w:cs="Times New Roman"/>
          <w:vertAlign w:val="superscript"/>
          <w:lang w:val="en-US"/>
        </w:rPr>
        <w:t>-1</w:t>
      </w:r>
      <w:r w:rsidR="001C22D4" w:rsidRPr="0069088C">
        <w:rPr>
          <w:rFonts w:ascii="Times New Roman" w:hAnsi="Times New Roman" w:cs="Times New Roman"/>
          <w:lang w:val="en-US"/>
        </w:rPr>
        <w:t xml:space="preserve"> </w:t>
      </w:r>
      <w:r w:rsidR="004439C6" w:rsidRPr="0069088C">
        <w:rPr>
          <w:rFonts w:ascii="Times New Roman" w:hAnsi="Times New Roman" w:cs="Times New Roman"/>
          <w:lang w:val="en-US"/>
        </w:rPr>
        <w:t>corresponding to fatty acids.</w:t>
      </w:r>
      <w:r w:rsidR="00027A4E" w:rsidRPr="0069088C">
        <w:rPr>
          <w:rFonts w:ascii="Times New Roman" w:hAnsi="Times New Roman" w:cs="Times New Roman"/>
          <w:lang w:val="en-US"/>
        </w:rPr>
        <w:t xml:space="preserve"> The colors of the dendrogram indicate the clustering of similarity greater than 50%.</w:t>
      </w:r>
    </w:p>
    <w:p w14:paraId="605A7881" w14:textId="227BFFA3" w:rsidR="00AA2C24" w:rsidRPr="0069088C" w:rsidRDefault="00AA2C24" w:rsidP="00AA2C24">
      <w:pPr>
        <w:rPr>
          <w:rFonts w:ascii="Times New Roman" w:hAnsi="Times New Roman" w:cs="Times New Roman"/>
          <w:b/>
          <w:bCs/>
          <w:lang w:val="en-US"/>
        </w:rPr>
      </w:pPr>
      <w:r w:rsidRPr="0069088C">
        <w:rPr>
          <w:rFonts w:ascii="Times New Roman" w:hAnsi="Times New Roman" w:cs="Times New Roman"/>
          <w:b/>
          <w:bCs/>
          <w:lang w:val="en-US"/>
        </w:rPr>
        <w:lastRenderedPageBreak/>
        <w:t>4 - DISCUSSION</w:t>
      </w:r>
    </w:p>
    <w:p w14:paraId="09CDE307" w14:textId="5307E52C" w:rsidR="00AA2C24" w:rsidRPr="0069088C" w:rsidRDefault="00AA2C24" w:rsidP="00AA2C24">
      <w:pPr>
        <w:rPr>
          <w:rFonts w:ascii="Times New Roman" w:hAnsi="Times New Roman" w:cs="Times New Roman"/>
          <w:lang w:val="en-US"/>
        </w:rPr>
      </w:pPr>
      <w:r w:rsidRPr="0069088C">
        <w:rPr>
          <w:rFonts w:ascii="Times New Roman" w:hAnsi="Times New Roman" w:cs="Times New Roman"/>
          <w:lang w:val="en-US"/>
        </w:rPr>
        <w:t xml:space="preserve">The resistant and persistent bacteria </w:t>
      </w:r>
      <w:r w:rsidR="00AD00EB" w:rsidRPr="0069088C">
        <w:rPr>
          <w:rFonts w:ascii="Times New Roman" w:hAnsi="Times New Roman" w:cs="Times New Roman"/>
          <w:lang w:val="en-US"/>
        </w:rPr>
        <w:t>have</w:t>
      </w:r>
      <w:r w:rsidRPr="0069088C">
        <w:rPr>
          <w:rFonts w:ascii="Times New Roman" w:hAnsi="Times New Roman" w:cs="Times New Roman"/>
          <w:lang w:val="en-US"/>
        </w:rPr>
        <w:t xml:space="preserve"> increased significantly over the years, encouraging studies to potentiate the antibiotic's action. The mechanism action of antibiotics aims to inactivate essential processes for the maintenance and growth of the bacterial cell</w:t>
      </w:r>
      <w:r w:rsidR="00324C99" w:rsidRPr="0069088C">
        <w:rPr>
          <w:rFonts w:ascii="Times New Roman" w:hAnsi="Times New Roman" w:cs="Times New Roman"/>
          <w:lang w:val="en-US"/>
        </w:rPr>
        <w:t xml:space="preserve"> </w:t>
      </w:r>
      <w:r w:rsidR="00A40AFC" w:rsidRPr="0069088C">
        <w:rPr>
          <w:rFonts w:ascii="Times New Roman" w:hAnsi="Times New Roman" w:cs="Times New Roman"/>
          <w:lang w:val="en-US"/>
        </w:rPr>
        <w:fldChar w:fldCharType="begin" w:fldLock="1"/>
      </w:r>
      <w:r w:rsidR="00A40AFC" w:rsidRPr="0069088C">
        <w:rPr>
          <w:rFonts w:ascii="Times New Roman" w:hAnsi="Times New Roman" w:cs="Times New Roman"/>
          <w:lang w:val="en-US"/>
        </w:rPr>
        <w:instrText>ADDIN CSL_CITATION {"citationItems":[{"id":"ITEM-1","itemData":{"DOI":"10.1126/SCISIGNAL.AAX3938","ISSN":"19379145","PMID":"31363068","abstract":"Bacteria can withstand killing by bactericidal antibiotics through phenotypic changes mediated by their preexisting genetic repertoire. These changes can be exhibited transiently by a large fraction of the bacterial population, giving rise to tolerance, or displayed by a small subpopulation, giving rise to persistence. Apart from undermining the use of antibiotics, tolerant and persistent bacteria foster the emergence of antibiotic-resistant mutants. Persister formation has been attributed to alterations in the abundance of particular proteins, metabolites, and signaling molecules, including toxin-antitoxin modules, adenosine triphosphate, and guanosine (penta) tetraphosphate, respectively. Here, we report that persistent bacteria form as a result of slow growth alone, despite opposite changes in the abundance of such proteins, metabolites, and signaling molecules. Our findings argue that transitory disturbances to core activities, which are often linked to cell growth, promote a persister state regardless of the underlying physiological process responsible for the change in growth.","author":[{"dropping-particle":"","family":"Pontes","given":"Mauricio H.","non-dropping-particle":"","parse-names":false,"suffix":""},{"dropping-particle":"","family":"Groisman","given":"Eduardo A.","non-dropping-particle":"","parse-names":false,"suffix":""}],"container-title":"Science signaling","id":"ITEM-1","issue":"592","issued":{"date-parts":[["2019","7","30"]]},"publisher":"NIH Public Access","title":"Slow growth dictates non-heritable antibiotic resistance in Salmonella enterica","type":"article-journal","volume":"12"},"uris":["http://www.mendeley.com/documents/?uuid=f9ddf46c-0e61-3361-965f-87279bb0c032"]}],"mendeley":{"formattedCitation":"&lt;sup&gt;19&lt;/sup&gt;","plainTextFormattedCitation":"19","previouslyFormattedCitation":"&lt;sup&gt;19&lt;/sup&gt;"},"properties":{"noteIndex":0},"schema":"https://github.com/citation-style-language/schema/raw/master/csl-citation.json"}</w:instrText>
      </w:r>
      <w:r w:rsidR="00A40AFC" w:rsidRPr="0069088C">
        <w:rPr>
          <w:rFonts w:ascii="Times New Roman" w:hAnsi="Times New Roman" w:cs="Times New Roman"/>
          <w:lang w:val="en-US"/>
        </w:rPr>
        <w:fldChar w:fldCharType="separate"/>
      </w:r>
      <w:r w:rsidR="00A40AFC" w:rsidRPr="0069088C">
        <w:rPr>
          <w:rFonts w:ascii="Times New Roman" w:hAnsi="Times New Roman" w:cs="Times New Roman"/>
          <w:noProof/>
          <w:vertAlign w:val="superscript"/>
          <w:lang w:val="en-US"/>
        </w:rPr>
        <w:t>19</w:t>
      </w:r>
      <w:r w:rsidR="00A40AFC" w:rsidRPr="0069088C">
        <w:rPr>
          <w:rFonts w:ascii="Times New Roman" w:hAnsi="Times New Roman" w:cs="Times New Roman"/>
          <w:lang w:val="en-US"/>
        </w:rPr>
        <w:fldChar w:fldCharType="end"/>
      </w:r>
      <w:r w:rsidRPr="0069088C">
        <w:rPr>
          <w:rFonts w:ascii="Times New Roman" w:hAnsi="Times New Roman" w:cs="Times New Roman"/>
          <w:lang w:val="en-US"/>
        </w:rPr>
        <w:t xml:space="preserve">. </w:t>
      </w:r>
      <w:r w:rsidR="00A613BF" w:rsidRPr="0069088C">
        <w:rPr>
          <w:rFonts w:ascii="Times New Roman" w:hAnsi="Times New Roman" w:cs="Times New Roman"/>
          <w:lang w:val="en-US"/>
        </w:rPr>
        <w:t>A</w:t>
      </w:r>
      <w:r w:rsidR="00AD00EB" w:rsidRPr="0069088C">
        <w:rPr>
          <w:rFonts w:ascii="Times New Roman" w:hAnsi="Times New Roman" w:cs="Times New Roman"/>
          <w:lang w:val="en-US"/>
        </w:rPr>
        <w:t xml:space="preserve">ntibiotic </w:t>
      </w:r>
      <w:r w:rsidRPr="0069088C">
        <w:rPr>
          <w:rFonts w:ascii="Times New Roman" w:hAnsi="Times New Roman" w:cs="Times New Roman"/>
          <w:lang w:val="en-US"/>
        </w:rPr>
        <w:t>resistan</w:t>
      </w:r>
      <w:r w:rsidR="00A613BF" w:rsidRPr="0069088C">
        <w:rPr>
          <w:rFonts w:ascii="Times New Roman" w:hAnsi="Times New Roman" w:cs="Times New Roman"/>
          <w:lang w:val="en-US"/>
        </w:rPr>
        <w:t>t</w:t>
      </w:r>
      <w:r w:rsidRPr="0069088C">
        <w:rPr>
          <w:rFonts w:ascii="Times New Roman" w:hAnsi="Times New Roman" w:cs="Times New Roman"/>
          <w:lang w:val="en-US"/>
        </w:rPr>
        <w:t xml:space="preserve"> </w:t>
      </w:r>
      <w:r w:rsidR="00AD00EB" w:rsidRPr="0069088C">
        <w:rPr>
          <w:rFonts w:ascii="Times New Roman" w:hAnsi="Times New Roman" w:cs="Times New Roman"/>
          <w:lang w:val="en-US"/>
        </w:rPr>
        <w:t xml:space="preserve">bacteria </w:t>
      </w:r>
      <w:r w:rsidR="00A613BF" w:rsidRPr="0069088C">
        <w:rPr>
          <w:rFonts w:ascii="Times New Roman" w:hAnsi="Times New Roman" w:cs="Times New Roman"/>
          <w:lang w:val="en-US"/>
        </w:rPr>
        <w:t>develop</w:t>
      </w:r>
      <w:r w:rsidRPr="0069088C">
        <w:rPr>
          <w:rFonts w:ascii="Times New Roman" w:hAnsi="Times New Roman" w:cs="Times New Roman"/>
          <w:lang w:val="en-US"/>
        </w:rPr>
        <w:t xml:space="preserve"> modif</w:t>
      </w:r>
      <w:r w:rsidR="00962F32" w:rsidRPr="0069088C">
        <w:rPr>
          <w:rFonts w:ascii="Times New Roman" w:hAnsi="Times New Roman" w:cs="Times New Roman"/>
          <w:lang w:val="en-US"/>
        </w:rPr>
        <w:t>ication on</w:t>
      </w:r>
      <w:r w:rsidRPr="0069088C">
        <w:rPr>
          <w:rFonts w:ascii="Times New Roman" w:hAnsi="Times New Roman" w:cs="Times New Roman"/>
          <w:lang w:val="en-US"/>
        </w:rPr>
        <w:t xml:space="preserve"> drug binding sites, increasing the expression of efflux pumps or enzymes that degrade such molecules, it is of </w:t>
      </w:r>
      <w:r w:rsidR="00962F32" w:rsidRPr="0069088C">
        <w:rPr>
          <w:rFonts w:ascii="Times New Roman" w:hAnsi="Times New Roman" w:cs="Times New Roman"/>
          <w:lang w:val="en-US"/>
        </w:rPr>
        <w:t xml:space="preserve">particular </w:t>
      </w:r>
      <w:r w:rsidRPr="0069088C">
        <w:rPr>
          <w:rFonts w:ascii="Times New Roman" w:hAnsi="Times New Roman" w:cs="Times New Roman"/>
          <w:lang w:val="en-US"/>
        </w:rPr>
        <w:t xml:space="preserve">interest </w:t>
      </w:r>
      <w:r w:rsidR="00962F32" w:rsidRPr="0069088C">
        <w:rPr>
          <w:rFonts w:ascii="Times New Roman" w:hAnsi="Times New Roman" w:cs="Times New Roman"/>
          <w:lang w:val="en-US"/>
        </w:rPr>
        <w:t>for</w:t>
      </w:r>
      <w:r w:rsidRPr="0069088C">
        <w:rPr>
          <w:rFonts w:ascii="Times New Roman" w:hAnsi="Times New Roman" w:cs="Times New Roman"/>
          <w:lang w:val="en-US"/>
        </w:rPr>
        <w:t xml:space="preserve"> combine</w:t>
      </w:r>
      <w:r w:rsidR="00962F32" w:rsidRPr="0069088C">
        <w:rPr>
          <w:rFonts w:ascii="Times New Roman" w:hAnsi="Times New Roman" w:cs="Times New Roman"/>
          <w:lang w:val="en-US"/>
        </w:rPr>
        <w:t>d</w:t>
      </w:r>
      <w:r w:rsidRPr="0069088C">
        <w:rPr>
          <w:rFonts w:ascii="Times New Roman" w:hAnsi="Times New Roman" w:cs="Times New Roman"/>
          <w:lang w:val="en-US"/>
        </w:rPr>
        <w:t xml:space="preserve"> therapies that act </w:t>
      </w:r>
      <w:r w:rsidR="00364037" w:rsidRPr="0069088C">
        <w:rPr>
          <w:rFonts w:ascii="Times New Roman" w:hAnsi="Times New Roman" w:cs="Times New Roman"/>
          <w:lang w:val="en-US"/>
        </w:rPr>
        <w:t>in</w:t>
      </w:r>
      <w:r w:rsidRPr="0069088C">
        <w:rPr>
          <w:rFonts w:ascii="Times New Roman" w:hAnsi="Times New Roman" w:cs="Times New Roman"/>
          <w:lang w:val="en-US"/>
        </w:rPr>
        <w:t xml:space="preserve"> another </w:t>
      </w:r>
      <w:r w:rsidR="008C2B03" w:rsidRPr="0069088C">
        <w:rPr>
          <w:rFonts w:ascii="Times New Roman" w:hAnsi="Times New Roman" w:cs="Times New Roman"/>
          <w:lang w:val="en-US"/>
        </w:rPr>
        <w:t xml:space="preserve">action </w:t>
      </w:r>
      <w:r w:rsidRPr="0069088C">
        <w:rPr>
          <w:rFonts w:ascii="Times New Roman" w:hAnsi="Times New Roman" w:cs="Times New Roman"/>
          <w:lang w:val="en-US"/>
        </w:rPr>
        <w:t>mechanism and</w:t>
      </w:r>
      <w:r w:rsidR="008C2B03" w:rsidRPr="0069088C">
        <w:rPr>
          <w:rFonts w:ascii="Times New Roman" w:hAnsi="Times New Roman" w:cs="Times New Roman"/>
          <w:lang w:val="en-US"/>
        </w:rPr>
        <w:t>,</w:t>
      </w:r>
      <w:r w:rsidRPr="0069088C">
        <w:rPr>
          <w:rFonts w:ascii="Times New Roman" w:hAnsi="Times New Roman" w:cs="Times New Roman"/>
          <w:lang w:val="en-US"/>
        </w:rPr>
        <w:t xml:space="preserve"> in certain situations, may potentiate the </w:t>
      </w:r>
      <w:r w:rsidR="008C2B03" w:rsidRPr="0069088C">
        <w:rPr>
          <w:rFonts w:ascii="Times New Roman" w:hAnsi="Times New Roman" w:cs="Times New Roman"/>
          <w:lang w:val="en-US"/>
        </w:rPr>
        <w:t xml:space="preserve">drug </w:t>
      </w:r>
      <w:r w:rsidR="00FF39F4" w:rsidRPr="0069088C">
        <w:rPr>
          <w:rFonts w:ascii="Times New Roman" w:hAnsi="Times New Roman" w:cs="Times New Roman"/>
          <w:lang w:val="en-US"/>
        </w:rPr>
        <w:t xml:space="preserve">action. </w:t>
      </w:r>
      <w:r w:rsidRPr="0069088C">
        <w:rPr>
          <w:rFonts w:ascii="Times New Roman" w:hAnsi="Times New Roman" w:cs="Times New Roman"/>
          <w:lang w:val="en-US"/>
        </w:rPr>
        <w:t xml:space="preserve">The antibiotic </w:t>
      </w:r>
      <w:r w:rsidR="00405698" w:rsidRPr="0069088C">
        <w:rPr>
          <w:rFonts w:ascii="Times New Roman" w:hAnsi="Times New Roman" w:cs="Times New Roman"/>
          <w:lang w:val="en-US"/>
        </w:rPr>
        <w:t xml:space="preserve">effectiveness </w:t>
      </w:r>
      <w:r w:rsidRPr="0069088C">
        <w:rPr>
          <w:rFonts w:ascii="Times New Roman" w:hAnsi="Times New Roman" w:cs="Times New Roman"/>
          <w:lang w:val="en-US"/>
        </w:rPr>
        <w:t>does not correspond only to the ligand-receptor interaction, as these also promote other metabolic responses</w:t>
      </w:r>
      <w:r w:rsidR="00A40AFC" w:rsidRPr="0069088C">
        <w:rPr>
          <w:rFonts w:ascii="Times New Roman" w:hAnsi="Times New Roman" w:cs="Times New Roman"/>
          <w:lang w:val="en-US"/>
        </w:rPr>
        <w:fldChar w:fldCharType="begin" w:fldLock="1"/>
      </w:r>
      <w:r w:rsidR="00D20061" w:rsidRPr="0069088C">
        <w:rPr>
          <w:rFonts w:ascii="Times New Roman" w:hAnsi="Times New Roman" w:cs="Times New Roman"/>
          <w:lang w:val="en-US"/>
        </w:rPr>
        <w:instrText>ADDIN CSL_CITATION {"citationItems":[{"id":"ITEM-1","itemData":{"DOI":"10.1038/s41598-018-29313-w","ISBN":"4159801829313","ISSN":"20452322","PMID":"30042429","abstract":"Thiol-dependent enzymes, including the thioredoxin (Trx) and glutathione (GSH) systems, have recently been found as promising bactericidal targets in multidrug-resistant (MDR) bacteria. We previously discovered that silver acted synergistically with ebselen in the inhibition of the Trx system and also resulted in a fast depletion of GSH in Gram-negative bacteria. Silver has been found by others to improve the sensitivity of bacteria to certain conventional antibiotics. Here, we found that the synergistic antibacterial effects of silver with four conventional antibiotics was correlated with the blockage of bacterial Trx system by silver. The synergistic antibacterial effect came along with the production of reactive oxygen species. All these results suggested that silver primarily enhanced the bactericidal activities of conventional antibiotics towards Gram-negative strains through the upregulation of ROS production.","author":[{"dropping-particle":"","family":"Zou","given":"Lili","non-dropping-particle":"","parse-names":false,"suffix":""},{"dropping-particle":"","family":"Wang","given":"Jun","non-dropping-particle":"","parse-names":false,"suffix":""},{"dropping-particle":"","family":"Gao","given":"Yu","non-dropping-particle":"","parse-names":false,"suffix":""},{"dropping-particle":"","family":"Ren","given":"Xiaoyuan","non-dropping-particle":"","parse-names":false,"suffix":""},{"dropping-particle":"","family":"Rottenberg","given":"Martin E.","non-dropping-particle":"","parse-names":false,"suffix":""},{"dropping-particle":"","family":"Lu","given":"Jun","non-dropping-particle":"","parse-names":false,"suffix":""},{"dropping-particle":"","family":"Holmgren","given":"Arne","non-dropping-particle":"","parse-names":false,"suffix":""}],"container-title":"Scientific Reports","id":"ITEM-1","issue":"1","issued":{"date-parts":[["2018"]]},"page":"1-11","publisher":"Springer US","title":"Synergistic antibacterial activity of silver with antibiotics correlating with the upregulation of the ROS production","type":"article-journal","volume":"8"},"uris":["http://www.mendeley.com/documents/?uuid=451de402-29b6-4f76-8eb7-b9a27d4f4d00"]}],"mendeley":{"formattedCitation":"&lt;sup&gt;20&lt;/sup&gt;","plainTextFormattedCitation":"20","previouslyFormattedCitation":"&lt;sup&gt;20&lt;/sup&gt;"},"properties":{"noteIndex":0},"schema":"https://github.com/citation-style-language/schema/raw/master/csl-citation.json"}</w:instrText>
      </w:r>
      <w:r w:rsidR="00A40AFC" w:rsidRPr="0069088C">
        <w:rPr>
          <w:rFonts w:ascii="Times New Roman" w:hAnsi="Times New Roman" w:cs="Times New Roman"/>
          <w:lang w:val="en-US"/>
        </w:rPr>
        <w:fldChar w:fldCharType="separate"/>
      </w:r>
      <w:r w:rsidR="00A40AFC" w:rsidRPr="0069088C">
        <w:rPr>
          <w:rFonts w:ascii="Times New Roman" w:hAnsi="Times New Roman" w:cs="Times New Roman"/>
          <w:noProof/>
          <w:vertAlign w:val="superscript"/>
          <w:lang w:val="en-US"/>
        </w:rPr>
        <w:t>20</w:t>
      </w:r>
      <w:r w:rsidR="00A40AFC" w:rsidRPr="0069088C">
        <w:rPr>
          <w:rFonts w:ascii="Times New Roman" w:hAnsi="Times New Roman" w:cs="Times New Roman"/>
          <w:lang w:val="en-US"/>
        </w:rPr>
        <w:fldChar w:fldCharType="end"/>
      </w:r>
      <w:r w:rsidRPr="0069088C">
        <w:rPr>
          <w:rFonts w:ascii="Times New Roman" w:hAnsi="Times New Roman" w:cs="Times New Roman"/>
          <w:lang w:val="en-US"/>
        </w:rPr>
        <w:t xml:space="preserve">, such as the increase in basal production of ROS reported for some bactericidal antibiotics of the </w:t>
      </w:r>
      <w:r w:rsidR="00324C99" w:rsidRPr="0069088C">
        <w:rPr>
          <w:rFonts w:ascii="Times New Roman" w:hAnsi="Times New Roman" w:cs="Times New Roman"/>
          <w:lang w:val="en-US"/>
        </w:rPr>
        <w:t>β</w:t>
      </w:r>
      <w:r w:rsidRPr="0069088C">
        <w:rPr>
          <w:rFonts w:ascii="Times New Roman" w:hAnsi="Times New Roman" w:cs="Times New Roman"/>
          <w:lang w:val="en-US"/>
        </w:rPr>
        <w:t xml:space="preserve">-lactam class and aminoglycosides </w:t>
      </w:r>
      <w:r w:rsidR="00D20061" w:rsidRPr="0069088C">
        <w:rPr>
          <w:rFonts w:ascii="Times New Roman" w:hAnsi="Times New Roman" w:cs="Times New Roman"/>
          <w:lang w:val="en-US"/>
        </w:rPr>
        <w:fldChar w:fldCharType="begin" w:fldLock="1"/>
      </w:r>
      <w:r w:rsidR="00D20061" w:rsidRPr="0069088C">
        <w:rPr>
          <w:rFonts w:ascii="Times New Roman" w:hAnsi="Times New Roman" w:cs="Times New Roman"/>
          <w:lang w:val="en-US"/>
        </w:rPr>
        <w:instrText>ADDIN CSL_CITATION {"citationItems":[{"id":"ITEM-1","itemData":{"DOI":"10.1038/nbt.2458","ISSN":"10870156","PMID":"23292609","abstract":"The ever-increasing incidence of antibiotic-resistant infections combined with a weak pipeline of new antibiotics has created a global public health crisis. Accordingly, novel strategies for enhancing our antibiotic arsenal are needed. As antibiotics kill bacteria in part by inducing reactive oxygen species (ROS), we reasoned that targeting microbial ROS production might potentiate antibiotic activity. Here we show that ROS production can be predictably enhanced in Escherichia coli, increasing the bacteria's susceptibility to oxidative attack. We developed an ensemble approach of genome-scale, metabolic models capable of predicting ROS production in E. coli. The metabolic network was systematically perturbed and its flux distribution analyzed to identify targets predicted to increase ROS production. Targets that were predicted in silico were experimentally validated and further shown to confer increased susceptibility to oxidants. Validated targets also increased susceptibility to killing by antibiotics. This work establishes a systems-based method to tune ROS production in bacteria and demonstrates that increased microbial ROS production can potentiate killing by oxidants and antibiotics. © 2013 Nature America, Inc. All rights reserved.","author":[{"dropping-particle":"","family":"Brynildsen","given":"Mark P.","non-dropping-particle":"","parse-names":false,"suffix":""},{"dropping-particle":"","family":"Winkler","given":"Jonathan A.","non-dropping-particle":"","parse-names":false,"suffix":""},{"dropping-particle":"","family":"Spina","given":"Catherine S.","non-dropping-particle":"","parse-names":false,"suffix":""},{"dropping-particle":"","family":"MacDonald","given":"I. Cody","non-dropping-particle":"","parse-names":false,"suffix":""},{"dropping-particle":"","family":"Collins","given":"James J.","non-dropping-particle":"","parse-names":false,"suffix":""}],"container-title":"Nature Biotechnology","id":"ITEM-1","issue":"2","issued":{"date-parts":[["2013"]]},"page":"160-165","publisher":"Nature Publishing Group","title":"Potentiating antibacterial activity by predictably enhancing endogenous microbial ROS production","type":"article-journal","volume":"31"},"uris":["http://www.mendeley.com/documents/?uuid=15ef66fb-ca14-4897-8a8f-927460d7865b"]},{"id":"ITEM-2","itemData":{"DOI":"10.1111/1574-6976.12026","ISSN":"15746976","PMID":"23802986","abstract":"Reactive oxygen species (ROS) can attack a diverse range of targets to exert antimicrobial activity, which accounts for their versatility in mediating host defense against a broad range of pathogens. Most ROS are formed by the partial reduction in molecular oxygen. Four major ROS are recognized comprising superoxide (O2 •-), hydrogen peroxide (H2O2), hydroxyl radical (•OH), and singlet oxygen (1O2), but they display very different kinetics and levels of activity. The effects of O2 •- and H2O2 are less acute than those of •OH and 1O2, because the former are much less reactive and can be detoxified by endogenous antioxidants (both enzymatic and nonenzymatic) that are induced by oxidative stress. In contrast, no enzyme can detoxify •OH or 1O2, making them extremely toxic and acutely lethal. The present review will highlight the various methods of ROS formation and their mechanism of action. Antioxidant defenses against ROS in microbial cells and the use of ROS by antimicrobial host defense systems are covered. Antimicrobial approaches primarily utilizing ROS comprise both bactericidal antibiotics and nonpharmacological methods such as photodynamic therapy, titanium dioxide photocatalysis, cold plasma, and medicinal honey. A brief final section covers reactive nitrogen species and related therapeutics, such as acidified nitrite and nitric oxide-releasing nanoparticles. Reactive oxygen species are involved in cell signaling and disease causing damages and in the antimicrobial arena-mediated killing via bactericidal antibiotics, photodynamic inactivation, titania photocatalysis, cold plasma, medicinal honey, and nitric oxide-releasing nanoparticles. © 2013 Federation of European Microbiological Societies. Published by John Wiley &amp; Sons Ltd. All rights reserved.","author":[{"dropping-particle":"","family":"Vatansever","given":"Fatma","non-dropping-particle":"","parse-names":false,"suffix":""},{"dropping-particle":"","family":"Melo","given":"Wanessa C.M.A.","non-dropping-particle":"de","parse-names":false,"suffix":""},{"dropping-particle":"","family":"Avci","given":"Pinar","non-dropping-particle":"","parse-names":false,"suffix":""},{"dropping-particle":"","family":"Vecchio","given":"Daniela","non-dropping-particle":"","parse-names":false,"suffix":""},{"dropping-particle":"","family":"Sadasivam","given":"Magesh","non-dropping-particle":"","parse-names":false,"suffix":""},{"dropping-particle":"","family":"Gupta","given":"Asheesh","non-dropping-particle":"","parse-names":false,"suffix":""},{"dropping-particle":"","family":"Chandran","given":"Rakkiyappan","non-dropping-particle":"","parse-names":false,"suffix":""},{"dropping-particle":"","family":"Karimi","given":"Mahdi","non-dropping-particle":"","parse-names":false,"suffix":""},{"dropping-particle":"","family":"Parizotto","given":"Nivaldo A.","non-dropping-particle":"","parse-names":false,"suffix":""},{"dropping-particle":"","family":"Yin","given":"Rui","non-dropping-particle":"","parse-names":false,"suffix":""},{"dropping-particle":"","family":"Tegos","given":"George P.","non-dropping-particle":"","parse-names":false,"suffix":""},{"dropping-particle":"","family":"Hamblin","given":"Michael R.","non-dropping-particle":"","parse-names":false,"suffix":""}],"container-title":"FEMS Microbiology Reviews","id":"ITEM-2","issue":"6","issued":{"date-parts":[["2013"]]},"page":"955-989","title":"Antimicrobial strategies centered around reactive oxygen species - bactericidal antibiotics, photodynamic therapy, and beyond","type":"article","volume":"37"},"uris":["http://www.mendeley.com/documents/?uuid=2b181bf1-878b-469b-9872-cf617ac50642"]},{"id":"ITEM-3","itemData":{"DOI":"10.1073/pnas.1707466114","ISBN":"1707466114","ISSN":"10916490","PMID":"28794281","abstract":"Downstream metabolic events can contribute to the lethality of drugs or agents that interact with a primary cellular target. In bacteria, the production of reactive oxygen species (ROS) has been associated with the lethal effects of a variety of stresses including bactericidal antibiotics, but the relative contribution of this oxidative component to cell death depends on a variety of factors. Experimental evidence has suggested that unresolvable DNA problems caused by incorporation of oxidized nucleotides into nascent DNA followed by incomplete base excision repair contribute to the ROS-dependent component of antibiotic lethality. Expression of the chimeric periplasmic-cytoplasmic MalE-LacZ72–47 protein is an historically important lethal stress originally identified during seminal genetic experiments that defined the SecY-dependent protein translocation system. Multiple, independent lines of evidence presented here indicate that the predominant mechanism for MalE-LacZ lethality shares attributes with the ROS-dependent component of antibiotic lethality. MalE-LacZ lethality requires molecular oxygen, and its expression induces ROS production. The increased susceptibility of mutants sensitive to oxidative stress to MalE-LacZ lethality indicates that ROS contribute causally to cell death rather than simply being produced by dying cells. Observations that support the proposed mechanism of cell death include MalE-LacZ expression being bacteriostatic rather than bactericidal in cells that over-express MutT, a nucleotide sanitizer that hydrolyzes 8-oxo-dGTP to the monophosphate, or that lack MutM and MutY, DNA glycosylases that process base pairs involving 8-oxo-dGTP. Our studies suggest stress-induced physiological changes that favor this mode of ROS-dependent death.","author":[{"dropping-particle":"","family":"Takahashi","given":"Noriko","non-dropping-particle":"","parse-names":false,"suffix":""},{"dropping-particle":"","family":"Gruber","given":"Charley C.","non-dropping-particle":"","parse-names":false,"suffix":""},{"dropping-particle":"","family":"Yang","given":"Jason H.","non-dropping-particle":"","parse-names":false,"suffix":""},{"dropping-particle":"","family":"Liu","given":"Xiaobo","non-dropping-particle":"","parse-names":false,"suffix":""},{"dropping-particle":"","family":"Braff","given":"Dana","non-dropping-particle":"","parse-names":false,"suffix":""},{"dropping-particle":"","family":"Yashaswini","given":"Chittampalli N.","non-dropping-particle":"","parse-names":false,"suffix":""},{"dropping-particle":"","family":"Bhubhanil","given":"Sakkarin","non-dropping-particle":"","parse-names":false,"suffix":""},{"dropping-particle":"","family":"Furuta","given":"Yoshikazu","non-dropping-particle":"","parse-names":false,"suffix":""},{"dropping-particle":"","family":"Andreescu","given":"Silvana","non-dropping-particle":"","parse-names":false,"suffix":""},{"dropping-particle":"","family":"Collins","given":"James J.","non-dropping-particle":"","parse-names":false,"suffix":""},{"dropping-particle":"","family":"Walker","given":"Graham C.","non-dropping-particle":"","parse-names":false,"suffix":""}],"container-title":"Proceedings of the National Academy of Sciences of the United States of America","id":"ITEM-3","issue":"34","issued":{"date-parts":[["2017"]]},"page":"9164-9169","title":"Lethality of MalE-LacZ hybrid protein shares mechanistic attributes with oxidative component of antibiotic lethality","type":"article-journal","volume":"114"},"uris":["http://www.mendeley.com/documents/?uuid=60c8a589-ca43-4544-8026-a91b26e2e448"]}],"mendeley":{"formattedCitation":"&lt;sup&gt;11,21,22&lt;/sup&gt;","plainTextFormattedCitation":"11,21,22","previouslyFormattedCitation":"&lt;sup&gt;11,21,22&lt;/sup&gt;"},"properties":{"noteIndex":0},"schema":"https://github.com/citation-style-language/schema/raw/master/csl-citation.json"}</w:instrText>
      </w:r>
      <w:r w:rsidR="00D20061" w:rsidRPr="0069088C">
        <w:rPr>
          <w:rFonts w:ascii="Times New Roman" w:hAnsi="Times New Roman" w:cs="Times New Roman"/>
          <w:lang w:val="en-US"/>
        </w:rPr>
        <w:fldChar w:fldCharType="separate"/>
      </w:r>
      <w:r w:rsidR="00D20061" w:rsidRPr="0069088C">
        <w:rPr>
          <w:rFonts w:ascii="Times New Roman" w:hAnsi="Times New Roman" w:cs="Times New Roman"/>
          <w:noProof/>
          <w:vertAlign w:val="superscript"/>
          <w:lang w:val="en-US"/>
        </w:rPr>
        <w:t>11,21,22</w:t>
      </w:r>
      <w:r w:rsidR="00D20061" w:rsidRPr="0069088C">
        <w:rPr>
          <w:rFonts w:ascii="Times New Roman" w:hAnsi="Times New Roman" w:cs="Times New Roman"/>
          <w:lang w:val="en-US"/>
        </w:rPr>
        <w:fldChar w:fldCharType="end"/>
      </w:r>
      <w:r w:rsidRPr="0069088C">
        <w:rPr>
          <w:rFonts w:ascii="Times New Roman" w:hAnsi="Times New Roman" w:cs="Times New Roman"/>
          <w:lang w:val="en-US"/>
        </w:rPr>
        <w:t>. Oxidative stress can be potentiated with the introduction of PDI in a combination treatment.</w:t>
      </w:r>
    </w:p>
    <w:p w14:paraId="461E2AA6" w14:textId="04D1F6A1" w:rsidR="00274D6B" w:rsidRPr="0069088C" w:rsidRDefault="00AA2C24" w:rsidP="00AA2C24">
      <w:pPr>
        <w:rPr>
          <w:rFonts w:ascii="Times New Roman" w:hAnsi="Times New Roman" w:cs="Times New Roman"/>
          <w:lang w:val="en-US"/>
        </w:rPr>
      </w:pPr>
      <w:r w:rsidRPr="0069088C">
        <w:rPr>
          <w:rFonts w:ascii="Times New Roman" w:hAnsi="Times New Roman" w:cs="Times New Roman"/>
          <w:lang w:val="en-US"/>
        </w:rPr>
        <w:t xml:space="preserve">When PDI is applied before the antibiotic in sub-inhibitory conditions, damage to the membrane is caused, affecting </w:t>
      </w:r>
      <w:r w:rsidR="001D53AB" w:rsidRPr="0069088C">
        <w:rPr>
          <w:rFonts w:ascii="Times New Roman" w:hAnsi="Times New Roman" w:cs="Times New Roman"/>
          <w:lang w:val="en-US"/>
        </w:rPr>
        <w:t>its</w:t>
      </w:r>
      <w:r w:rsidR="0011353C" w:rsidRPr="0069088C">
        <w:rPr>
          <w:rFonts w:ascii="Times New Roman" w:hAnsi="Times New Roman" w:cs="Times New Roman"/>
          <w:lang w:val="en-US"/>
        </w:rPr>
        <w:t xml:space="preserve"> </w:t>
      </w:r>
      <w:r w:rsidRPr="0069088C">
        <w:rPr>
          <w:rFonts w:ascii="Times New Roman" w:hAnsi="Times New Roman" w:cs="Times New Roman"/>
          <w:lang w:val="en-US"/>
        </w:rPr>
        <w:t>permeability</w:t>
      </w:r>
      <w:r w:rsidR="001D53AB" w:rsidRPr="0069088C">
        <w:rPr>
          <w:rFonts w:ascii="Times New Roman" w:hAnsi="Times New Roman" w:cs="Times New Roman"/>
          <w:lang w:val="en-US"/>
        </w:rPr>
        <w:t>. T</w:t>
      </w:r>
      <w:r w:rsidR="0011353C" w:rsidRPr="0069088C">
        <w:rPr>
          <w:rFonts w:ascii="Times New Roman" w:hAnsi="Times New Roman" w:cs="Times New Roman"/>
          <w:lang w:val="en-US"/>
        </w:rPr>
        <w:t xml:space="preserve">he </w:t>
      </w:r>
      <w:r w:rsidRPr="0069088C">
        <w:rPr>
          <w:rFonts w:ascii="Times New Roman" w:hAnsi="Times New Roman" w:cs="Times New Roman"/>
          <w:lang w:val="en-US"/>
        </w:rPr>
        <w:t xml:space="preserve">curcumin has a predisposition to interact with the lipid bilayer and influences the dynamics of gramicidin channels </w:t>
      </w:r>
      <w:r w:rsidR="00D20061" w:rsidRPr="0069088C">
        <w:rPr>
          <w:rFonts w:ascii="Times New Roman" w:hAnsi="Times New Roman" w:cs="Times New Roman"/>
          <w:lang w:val="en-US"/>
        </w:rPr>
        <w:fldChar w:fldCharType="begin" w:fldLock="1"/>
      </w:r>
      <w:r w:rsidR="00D20061" w:rsidRPr="0069088C">
        <w:rPr>
          <w:rFonts w:ascii="Times New Roman" w:hAnsi="Times New Roman" w:cs="Times New Roman"/>
          <w:lang w:val="en-US"/>
        </w:rPr>
        <w:instrText>ADDIN CSL_CITATION {"citationItems":[{"id":"ITEM-1","itemData":{"DOI":"10.1021/bi701013n","ISBN":"0006-2960 (Print)\\r0006-2960 (Linking)","ISSN":"00062960","PMID":"17705403","abstract":"Curcumin (1,7-bis(4-hydroxy-3-methoxyphenyl)-1,6-heptadiene-3,5-dione) is the major bioactive compound in turmeric (Curcuma longa) with antioxidant, antiinflammatory, anticarcinogenic, and antimutagenic effects. At low ?M concentrations, curcumin modulates many structurally and functionally unrelated proteins, including membrane proteins. Because the cell membranes' lipid bilayer serves as a gate-keeper and regulator of many cell functions, we explored whether curcumin modifies general bilayer properties using channels formed by gramicidin A (gA). gA channels form when two monomers from opposing monolayers associate to form a conducting dimer with a hydrophobic length that is less than the bilayer hydrophobic thickness; gA channel formation thus causes a local bilayer thinning. The energetic cost of this bilayer deformation alters the gA monomer ? dimer equilibrium, which makes the channels' appearance rate and lifetime sensitive to changes in bilayer material properties, and the gA channels become probes for changes in bilayer properties. Curcumin decreases bilayer stiffness, increasing both gA channel lifetimes and appearance rates, meaning that the energetic cost of the gA-induced bilayer deformation is reduced. These results show that curcumin may exert some of its effects on a diverse range of membrane proteins through a bilayer-mediated mechanism.","author":[{"dropping-particle":"","family":"Ingolfsson","given":"Helgi I.","non-dropping-particle":"","parse-names":false,"suffix":""},{"dropping-particle":"","family":"Koeppe","given":"Roger E.","non-dropping-particle":"","parse-names":false,"suffix":""},{"dropping-particle":"","family":"Andersen","given":"Olaf S.","non-dropping-particle":"","parse-names":false,"suffix":""}],"container-title":"Biochemistry","id":"ITEM-1","issue":"36","issued":{"date-parts":[["2007"]]},"page":"10384-10391","title":"Curcumin is a modulator of bilayer material properties","type":"article-journal","volume":"46"},"uris":["http://www.mendeley.com/documents/?uuid=3891f012-bf8b-440a-8967-83ddf271100c"]}],"mendeley":{"formattedCitation":"&lt;sup&gt;23&lt;/sup&gt;","plainTextFormattedCitation":"23","previouslyFormattedCitation":"&lt;sup&gt;23&lt;/sup&gt;"},"properties":{"noteIndex":0},"schema":"https://github.com/citation-style-language/schema/raw/master/csl-citation.json"}</w:instrText>
      </w:r>
      <w:r w:rsidR="00D20061" w:rsidRPr="0069088C">
        <w:rPr>
          <w:rFonts w:ascii="Times New Roman" w:hAnsi="Times New Roman" w:cs="Times New Roman"/>
          <w:lang w:val="en-US"/>
        </w:rPr>
        <w:fldChar w:fldCharType="separate"/>
      </w:r>
      <w:r w:rsidR="00D20061" w:rsidRPr="0069088C">
        <w:rPr>
          <w:rFonts w:ascii="Times New Roman" w:hAnsi="Times New Roman" w:cs="Times New Roman"/>
          <w:noProof/>
          <w:vertAlign w:val="superscript"/>
          <w:lang w:val="en-US"/>
        </w:rPr>
        <w:t>23</w:t>
      </w:r>
      <w:r w:rsidR="00D20061" w:rsidRPr="0069088C">
        <w:rPr>
          <w:rFonts w:ascii="Times New Roman" w:hAnsi="Times New Roman" w:cs="Times New Roman"/>
          <w:lang w:val="en-US"/>
        </w:rPr>
        <w:fldChar w:fldCharType="end"/>
      </w:r>
      <w:r w:rsidRPr="0069088C">
        <w:rPr>
          <w:rFonts w:ascii="Times New Roman" w:hAnsi="Times New Roman" w:cs="Times New Roman"/>
          <w:lang w:val="en-US"/>
        </w:rPr>
        <w:t xml:space="preserve">. The increase in membrane permeability may favor the internalization of the antibiotic, which is a prerequisite for its effectiveness </w:t>
      </w:r>
      <w:r w:rsidR="00D20061" w:rsidRPr="0069088C">
        <w:rPr>
          <w:rFonts w:ascii="Times New Roman" w:hAnsi="Times New Roman" w:cs="Times New Roman"/>
          <w:lang w:val="en-US"/>
        </w:rPr>
        <w:fldChar w:fldCharType="begin" w:fldLock="1"/>
      </w:r>
      <w:r w:rsidR="00D20061" w:rsidRPr="0069088C">
        <w:rPr>
          <w:rFonts w:ascii="Times New Roman" w:hAnsi="Times New Roman" w:cs="Times New Roman"/>
          <w:lang w:val="en-US"/>
        </w:rPr>
        <w:instrText>ADDIN CSL_CITATION {"citationItems":[{"id":"ITEM-1","itemData":{"DOI":"10.1038/s41564-020-0723-z","ISSN":"20585276","PMID":"32424338","abstract":"The rapid emergence and dissemination of multidrug-resistant (MDR) bacterial pathogens pose a serious threat to global healthcare. One particular concern is the carbapenem-resistant Enterobacteriaceae (CRE), a group of Gram-negative bacteria that have evolved resistance to all or nearly all available antibiotics. Coupled with the fact of barren antibiotic development pipeline nowadays, a critical approach is to revitalize existing antibiotics using antibiotic adjuvants. We found a short linear antibacterial peptide (SLAP)-S25 carrying four non-natural amino acids of 2,4-diaminobutanoic acid (Dab), which solely showed weak antibacterial activity but boosted the efficacy of antibiotics covering all major classes, including cefepime, colistin, ofloxacin, rifampicin, tetracycline and vancomycin, against MDR Gram-negative pathogens. Mechanistic studies showed that SLAP-S25 triggers membrane damage by binding to both lipopolysaccharide (LPS) in the outer membrane and phosphatidylglycerol (PG) in bacterial cytoplasmic membrane, to potentiate antibiotic efficacy through collaborative strategies. Lastly, SLAP-S25 effectively enhanced the activity of colistin against MDR Escherichia coli-associated infections in three animal models. Our findings provide a potential therapeutic option using existing antibiotics in combination with broad-spectrum antibiotic adjuvants, to address the prevalent infections caused by MDR Gram-negative pathogens worldwide.","author":[{"dropping-particle":"","family":"Song","given":"Meirong","non-dropping-particle":"","parse-names":false,"suffix":""},{"dropping-particle":"","family":"Liu","given":"Yuan","non-dropping-particle":"","parse-names":false,"suffix":""},{"dropping-particle":"","family":"Huang","given":"Xiaoyong","non-dropping-particle":"","parse-names":false,"suffix":""},{"dropping-particle":"","family":"Ding","given":"Shuangyang","non-dropping-particle":"","parse-names":false,"suffix":""},{"dropping-particle":"","family":"Wang","given":"Yang","non-dropping-particle":"","parse-names":false,"suffix":""},{"dropping-particle":"","family":"Shen","given":"Jianzhong","non-dropping-particle":"","parse-names":false,"suffix":""},{"dropping-particle":"","family":"Zhu","given":"Kui","non-dropping-particle":"","parse-names":false,"suffix":""}],"container-title":"Nature Microbiology","id":"ITEM-1","issue":"8","issued":{"date-parts":[["2020"]]},"page":"1040-1050","publisher":"Springer US","title":"A broad-spectrum antibiotic adjuvant reverses multidrug-resistant Gram-negative pathogens","type":"article-journal","volume":"5"},"uris":["http://www.mendeley.com/documents/?uuid=f8e4e584-2c14-4cd1-ae91-1dd85ce38b3b"]}],"mendeley":{"formattedCitation":"&lt;sup&gt;2&lt;/sup&gt;","plainTextFormattedCitation":"2","previouslyFormattedCitation":"&lt;sup&gt;2&lt;/sup&gt;"},"properties":{"noteIndex":0},"schema":"https://github.com/citation-style-language/schema/raw/master/csl-citation.json"}</w:instrText>
      </w:r>
      <w:r w:rsidR="00D20061" w:rsidRPr="0069088C">
        <w:rPr>
          <w:rFonts w:ascii="Times New Roman" w:hAnsi="Times New Roman" w:cs="Times New Roman"/>
          <w:lang w:val="en-US"/>
        </w:rPr>
        <w:fldChar w:fldCharType="separate"/>
      </w:r>
      <w:r w:rsidR="00D20061" w:rsidRPr="0069088C">
        <w:rPr>
          <w:rFonts w:ascii="Times New Roman" w:hAnsi="Times New Roman" w:cs="Times New Roman"/>
          <w:noProof/>
          <w:vertAlign w:val="superscript"/>
          <w:lang w:val="en-US"/>
        </w:rPr>
        <w:t>2</w:t>
      </w:r>
      <w:r w:rsidR="00D20061" w:rsidRPr="0069088C">
        <w:rPr>
          <w:rFonts w:ascii="Times New Roman" w:hAnsi="Times New Roman" w:cs="Times New Roman"/>
          <w:lang w:val="en-US"/>
        </w:rPr>
        <w:fldChar w:fldCharType="end"/>
      </w:r>
      <w:r w:rsidRPr="0069088C">
        <w:rPr>
          <w:rFonts w:ascii="Times New Roman" w:hAnsi="Times New Roman" w:cs="Times New Roman"/>
          <w:lang w:val="en-US"/>
        </w:rPr>
        <w:t xml:space="preserve">. In addition, the production of ROS promoted by the interaction of curcumin with blue light affects not only the membrane, but also the various cellular components, weakening or eliminating the bacterial cell </w:t>
      </w:r>
      <w:r w:rsidR="00D20061" w:rsidRPr="0069088C">
        <w:rPr>
          <w:rFonts w:ascii="Times New Roman" w:hAnsi="Times New Roman" w:cs="Times New Roman"/>
          <w:lang w:val="en-US"/>
        </w:rPr>
        <w:fldChar w:fldCharType="begin" w:fldLock="1"/>
      </w:r>
      <w:r w:rsidR="00D20061" w:rsidRPr="0069088C">
        <w:rPr>
          <w:rFonts w:ascii="Times New Roman" w:hAnsi="Times New Roman" w:cs="Times New Roman"/>
          <w:lang w:val="en-US"/>
        </w:rPr>
        <w:instrText>ADDIN CSL_CITATION {"citationItems":[{"id":"ITEM-1","itemData":{"DOI":"10.1016/J.JPHOTOCHEMREV.2020.100384","ISSN":"1389-5567","abstract":"Nowadays multi-drug resistant microorganisms is a serious public health problem worldwide. To overcome it, new antimicrobial strategies have been developed. Among them, antimicrobial photodynamic therapy is an efficient tool against various micro-organisms in different medical and healthcare fields. The antimicrobial photodynamic protocol is based on the interaction of a photosensitizer, molecular oxygen, and an appropriate light source. Herein, we described the main physical and chemical proprieties of curcumin, an useful natural photosensitizer, including its degradation pathways, analytical methods for quantification, extraction method, synthetic methodologies, and pharmaceutical formulations used. Moreover, a comprehensive review of the past 10 years (2010−2019) concerning the application of curcumin as photosensitizer against microorganisms is described and discussed.","author":[{"dropping-particle":"","family":"Dias","given":"Lucas D.","non-dropping-particle":"","parse-names":false,"suffix":""},{"dropping-particle":"","family":"Blanco","given":"Kate C.","non-dropping-particle":"","parse-names":false,"suffix":""},{"dropping-particle":"","family":"Mfouo-Tynga","given":"Ivan S.","non-dropping-particle":"","parse-names":false,"suffix":""},{"dropping-particle":"","family":"Inada","given":"Natalia M.","non-dropping-particle":"","parse-names":false,"suffix":""},{"dropping-particle":"","family":"Bagnato","given":"Vanderlei S.","non-dropping-particle":"","parse-names":false,"suffix":""}],"container-title":"Journal of Photochemistry and Photobiology C: Photochemistry Reviews","id":"ITEM-1","issued":{"date-parts":[["2020","12","1"]]},"page":"100384","publisher":"Elsevier","title":"Curcumin as a photosensitizer: From molecular structure to recent advances in antimicrobial photodynamic therapy","type":"article-journal","volume":"45"},"uris":["http://www.mendeley.com/documents/?uuid=9b191d3e-9140-39fa-beff-b5ab917e129d"]}],"mendeley":{"formattedCitation":"&lt;sup&gt;24&lt;/sup&gt;","plainTextFormattedCitation":"24","previouslyFormattedCitation":"&lt;sup&gt;24&lt;/sup&gt;"},"properties":{"noteIndex":0},"schema":"https://github.com/citation-style-language/schema/raw/master/csl-citation.json"}</w:instrText>
      </w:r>
      <w:r w:rsidR="00D20061" w:rsidRPr="0069088C">
        <w:rPr>
          <w:rFonts w:ascii="Times New Roman" w:hAnsi="Times New Roman" w:cs="Times New Roman"/>
          <w:lang w:val="en-US"/>
        </w:rPr>
        <w:fldChar w:fldCharType="separate"/>
      </w:r>
      <w:r w:rsidR="00D20061" w:rsidRPr="0069088C">
        <w:rPr>
          <w:rFonts w:ascii="Times New Roman" w:hAnsi="Times New Roman" w:cs="Times New Roman"/>
          <w:noProof/>
          <w:vertAlign w:val="superscript"/>
          <w:lang w:val="en-US"/>
        </w:rPr>
        <w:t>24</w:t>
      </w:r>
      <w:r w:rsidR="00D20061" w:rsidRPr="0069088C">
        <w:rPr>
          <w:rFonts w:ascii="Times New Roman" w:hAnsi="Times New Roman" w:cs="Times New Roman"/>
          <w:lang w:val="en-US"/>
        </w:rPr>
        <w:fldChar w:fldCharType="end"/>
      </w:r>
      <w:r w:rsidRPr="0069088C">
        <w:rPr>
          <w:rFonts w:ascii="Times New Roman" w:hAnsi="Times New Roman" w:cs="Times New Roman"/>
          <w:lang w:val="en-US"/>
        </w:rPr>
        <w:t xml:space="preserve">. It is evident, comparing both protocols, that the previous damage caused by sub PDI in the membrane and in the cellular metabolic processes weakens the bacteria, </w:t>
      </w:r>
      <w:r w:rsidR="007356A8" w:rsidRPr="0069088C">
        <w:rPr>
          <w:rFonts w:ascii="Times New Roman" w:hAnsi="Times New Roman" w:cs="Times New Roman"/>
          <w:lang w:val="en-US"/>
        </w:rPr>
        <w:t xml:space="preserve">which makes it </w:t>
      </w:r>
      <w:r w:rsidRPr="0069088C">
        <w:rPr>
          <w:rFonts w:ascii="Times New Roman" w:hAnsi="Times New Roman" w:cs="Times New Roman"/>
          <w:lang w:val="en-US"/>
        </w:rPr>
        <w:t xml:space="preserve">more susceptible to other antimicrobials. </w:t>
      </w:r>
      <w:r w:rsidR="00274D6B" w:rsidRPr="0069088C">
        <w:rPr>
          <w:rFonts w:ascii="Times New Roman" w:hAnsi="Times New Roman" w:cs="Times New Roman"/>
          <w:lang w:val="en-US"/>
        </w:rPr>
        <w:t>Therefore, the synergistic effect in the oxidative stress protocol was observed decreasing MIC values, a fact also demonstrated in other planktonic cultures</w:t>
      </w:r>
      <w:r w:rsidR="00274D6B" w:rsidRPr="0069088C">
        <w:rPr>
          <w:rFonts w:ascii="Times New Roman" w:hAnsi="Times New Roman" w:cs="Times New Roman"/>
          <w:lang w:val="en-US"/>
        </w:rPr>
        <w:fldChar w:fldCharType="begin" w:fldLock="1"/>
      </w:r>
      <w:r w:rsidR="00274D6B" w:rsidRPr="0069088C">
        <w:rPr>
          <w:rFonts w:ascii="Times New Roman" w:hAnsi="Times New Roman" w:cs="Times New Roman"/>
          <w:lang w:val="en-US"/>
        </w:rPr>
        <w:instrText>ADDIN CSL_CITATION {"citationItems":[{"id":"ITEM-1","itemData":{"DOI":"10.1038/s41564-020-0723-z","ISSN":"20585276","PMID":"32424338","abstract":"The rapid emergence and dissemination of multidrug-resistant (MDR) bacterial pathogens pose a serious threat to global healthcare. One particular concern is the carbapenem-resistant Enterobacteriaceae (CRE), a group of Gram-negative bacteria that have evolved resistance to all or nearly all available antibiotics. Coupled with the fact of barren antibiotic development pipeline nowadays, a critical approach is to revitalize existing antibiotics using antibiotic adjuvants. We found a short linear antibacterial peptide (SLAP)-S25 carrying four non-natural amino acids of 2,4-diaminobutanoic acid (Dab), which solely showed weak antibacterial activity but boosted the efficacy of antibiotics covering all major classes, including cefepime, colistin, ofloxacin, rifampicin, tetracycline and vancomycin, against MDR Gram-negative pathogens. Mechanistic studies showed that SLAP-S25 triggers membrane damage by binding to both lipopolysaccharide (LPS) in the outer membrane and phosphatidylglycerol (PG) in bacterial cytoplasmic membrane, to potentiate antibiotic efficacy through collaborative strategies. Lastly, SLAP-S25 effectively enhanced the activity of colistin against MDR Escherichia coli-associated infections in three animal models. Our findings provide a potential therapeutic option using existing antibiotics in combination with broad-spectrum antibiotic adjuvants, to address the prevalent infections caused by MDR Gram-negative pathogens worldwide.","author":[{"dropping-particle":"","family":"Song","given":"Meirong","non-dropping-particle":"","parse-names":false,"suffix":""},{"dropping-particle":"","family":"Liu","given":"Yuan","non-dropping-particle":"","parse-names":false,"suffix":""},{"dropping-particle":"","family":"Huang","given":"Xiaoyong","non-dropping-particle":"","parse-names":false,"suffix":""},{"dropping-particle":"","family":"Ding","given":"Shuangyang","non-dropping-particle":"","parse-names":false,"suffix":""},{"dropping-particle":"","family":"Wang","given":"Yang","non-dropping-particle":"","parse-names":false,"suffix":""},{"dropping-particle":"","family":"Shen","given":"Jianzhong","non-dropping-particle":"","parse-names":false,"suffix":""},{"dropping-particle":"","family":"Zhu","given":"Kui","non-dropping-particle":"","parse-names":false,"suffix":""}],"container-title":"Nature Microbiology","id":"ITEM-1","issue":"8","issued":{"date-parts":[["2020"]]},"page":"1040-1050","publisher":"Springer US","title":"A broad-spectrum antibiotic adjuvant reverses multidrug-resistant Gram-negative pathogens","type":"article-journal","volume":"5"},"uris":["http://www.mendeley.com/documents/?uuid=f8e4e584-2c14-4cd1-ae91-1dd85ce38b3b"]}],"mendeley":{"formattedCitation":"&lt;sup&gt;2&lt;/sup&gt;","plainTextFormattedCitation":"2","previouslyFormattedCitation":"&lt;sup&gt;2&lt;/sup&gt;"},"properties":{"noteIndex":0},"schema":"https://github.com/citation-style-language/schema/raw/master/csl-citation.json"}</w:instrText>
      </w:r>
      <w:r w:rsidR="00274D6B" w:rsidRPr="0069088C">
        <w:rPr>
          <w:rFonts w:ascii="Times New Roman" w:hAnsi="Times New Roman" w:cs="Times New Roman"/>
          <w:lang w:val="en-US"/>
        </w:rPr>
        <w:fldChar w:fldCharType="separate"/>
      </w:r>
      <w:r w:rsidR="00274D6B" w:rsidRPr="0069088C">
        <w:rPr>
          <w:rFonts w:ascii="Times New Roman" w:hAnsi="Times New Roman" w:cs="Times New Roman"/>
          <w:noProof/>
          <w:vertAlign w:val="superscript"/>
          <w:lang w:val="en-US"/>
        </w:rPr>
        <w:t>2</w:t>
      </w:r>
      <w:r w:rsidR="00274D6B" w:rsidRPr="0069088C">
        <w:rPr>
          <w:rFonts w:ascii="Times New Roman" w:hAnsi="Times New Roman" w:cs="Times New Roman"/>
          <w:lang w:val="en-US"/>
        </w:rPr>
        <w:fldChar w:fldCharType="end"/>
      </w:r>
      <w:r w:rsidR="00274D6B" w:rsidRPr="0069088C">
        <w:rPr>
          <w:rFonts w:ascii="Times New Roman" w:hAnsi="Times New Roman" w:cs="Times New Roman"/>
          <w:lang w:val="en-US"/>
        </w:rPr>
        <w:t xml:space="preserve">  and biofilms</w:t>
      </w:r>
      <w:r w:rsidR="00274D6B" w:rsidRPr="0069088C">
        <w:rPr>
          <w:rFonts w:ascii="Times New Roman" w:hAnsi="Times New Roman" w:cs="Times New Roman"/>
          <w:lang w:val="en-US"/>
        </w:rPr>
        <w:fldChar w:fldCharType="begin" w:fldLock="1"/>
      </w:r>
      <w:r w:rsidR="00274D6B" w:rsidRPr="0069088C">
        <w:rPr>
          <w:rFonts w:ascii="Times New Roman" w:hAnsi="Times New Roman" w:cs="Times New Roman"/>
          <w:lang w:val="en-US"/>
        </w:rPr>
        <w:instrText>ADDIN CSL_CITATION {"citationItems":[{"id":"ITEM-1","itemData":{"DOI":"10.1016/j.jphotobiol.2016.02.036","ISSN":"18732682","PMID":"26971277","abstract":"The occurrence of a variety of pathogens resistant to current antibiotics remains the major problem in medical care, especially when bacterial infections are established as biofilms. In this study, we propose the use of photodynamic therapy (PDT) as a monotherapy and associated with antibiotic as an alternative treatment. The aim of this study was to analyze the effects of PDT mediated by methylene blue (MB) on Staphylococcus aureus (ATCC 25923) and Escherichia coli (ATCC 25922) in both biofilm and planktonic phases. Several concentrations of MB and light doses were tested. The bactericidal effects of PDT as a monotherapy did not increase with the concentration of photosensitizer, but were light dose-dependent. In addition, bacteria in biofilms were less affected than cells in the planktonic phase. Although not concentration-dependent, the disruption effect of PDT on biofilms was clearly illustrated by scanning electron microscopy (SEM). We also carried out experiments that evaluated the synergistic effect of photodynamic therapy and the antibiotic ciprofloxacin. The best results were obtained after combination treatment of photodynamic therapy followed by ciprofloxacin on biofilms, which increased bacterial reduction on biofilms, resulting in a 5.4 log reduction for S. aureus biofilm and approximately 7 log for E. coli biofilm.","author":[{"dropping-particle":"","family":"Ronqui","given":"Maria Rita","non-dropping-particle":"","parse-names":false,"suffix":""},{"dropping-particle":"","family":"Aguiar Coletti","given":"Tatiana Maria Starck Fogaça","non-dropping-particle":"De","parse-names":false,"suffix":""},{"dropping-particle":"","family":"Freitas","given":"Laura Marise","non-dropping-particle":"De","parse-names":false,"suffix":""},{"dropping-particle":"","family":"Miranda","given":"Elaine Toscano","non-dropping-particle":"","parse-names":false,"suffix":""},{"dropping-particle":"","family":"Fontana","given":"Carla Raquel","non-dropping-particle":"","parse-names":false,"suffix":""}],"container-title":"Journal of Photochemistry and Photobiology B: Biology","id":"ITEM-1","issued":{"date-parts":[["2016"]]},"page":"122-129","publisher":"Elsevier B.V.","title":"Synergistic antimicrobial effect of photodynamic therapy and ciprofloxacin","type":"article-journal","volume":"158"},"uris":["http://www.mendeley.com/documents/?uuid=0fb650e3-c0c5-47e7-9f28-060aaefb6fbe"]}],"mendeley":{"formattedCitation":"&lt;sup&gt;25&lt;/sup&gt;","plainTextFormattedCitation":"25","previouslyFormattedCitation":"&lt;sup&gt;25&lt;/sup&gt;"},"properties":{"noteIndex":0},"schema":"https://github.com/citation-style-language/schema/raw/master/csl-citation.json"}</w:instrText>
      </w:r>
      <w:r w:rsidR="00274D6B" w:rsidRPr="0069088C">
        <w:rPr>
          <w:rFonts w:ascii="Times New Roman" w:hAnsi="Times New Roman" w:cs="Times New Roman"/>
          <w:lang w:val="en-US"/>
        </w:rPr>
        <w:fldChar w:fldCharType="separate"/>
      </w:r>
      <w:r w:rsidR="00274D6B" w:rsidRPr="0069088C">
        <w:rPr>
          <w:rFonts w:ascii="Times New Roman" w:hAnsi="Times New Roman" w:cs="Times New Roman"/>
          <w:noProof/>
          <w:vertAlign w:val="superscript"/>
          <w:lang w:val="en-US"/>
        </w:rPr>
        <w:t>25</w:t>
      </w:r>
      <w:r w:rsidR="00274D6B" w:rsidRPr="0069088C">
        <w:rPr>
          <w:rFonts w:ascii="Times New Roman" w:hAnsi="Times New Roman" w:cs="Times New Roman"/>
          <w:lang w:val="en-US"/>
        </w:rPr>
        <w:fldChar w:fldCharType="end"/>
      </w:r>
    </w:p>
    <w:p w14:paraId="0505D06F" w14:textId="77069591" w:rsidR="00A37F28" w:rsidRPr="0069088C" w:rsidRDefault="000E698E" w:rsidP="00B73378">
      <w:pPr>
        <w:rPr>
          <w:rFonts w:ascii="Times New Roman" w:hAnsi="Times New Roman" w:cs="Times New Roman"/>
          <w:lang w:val="en-US"/>
        </w:rPr>
      </w:pPr>
      <w:bookmarkStart w:id="0" w:name="OLE_LINK1"/>
      <w:bookmarkStart w:id="1" w:name="OLE_LINK2"/>
      <w:r w:rsidRPr="0069088C">
        <w:rPr>
          <w:rFonts w:ascii="Times New Roman" w:hAnsi="Times New Roman" w:cs="Times New Roman"/>
          <w:lang w:val="en-US"/>
        </w:rPr>
        <w:t xml:space="preserve">The synergistic or antagonistic responses are dependent on the different parameters of each applied monotherapy. Although both antimicrobial techniques are being combined, the </w:t>
      </w:r>
      <w:r w:rsidR="0081029C" w:rsidRPr="0069088C">
        <w:rPr>
          <w:rFonts w:ascii="Times New Roman" w:hAnsi="Times New Roman" w:cs="Times New Roman"/>
          <w:lang w:val="en-US"/>
        </w:rPr>
        <w:t xml:space="preserve">activity </w:t>
      </w:r>
      <w:r w:rsidRPr="0069088C">
        <w:rPr>
          <w:rFonts w:ascii="Times New Roman" w:hAnsi="Times New Roman" w:cs="Times New Roman"/>
          <w:lang w:val="en-US"/>
        </w:rPr>
        <w:t>is probably not performed simultaneously, but as a succession of factors</w:t>
      </w:r>
      <w:r w:rsidR="001C602E" w:rsidRPr="0069088C">
        <w:rPr>
          <w:rFonts w:ascii="Times New Roman" w:hAnsi="Times New Roman" w:cs="Times New Roman"/>
          <w:lang w:val="en-US"/>
        </w:rPr>
        <w:t>. I</w:t>
      </w:r>
      <w:r w:rsidRPr="0069088C">
        <w:rPr>
          <w:rFonts w:ascii="Times New Roman" w:hAnsi="Times New Roman" w:cs="Times New Roman"/>
          <w:lang w:val="en-US"/>
        </w:rPr>
        <w:t xml:space="preserve">n </w:t>
      </w:r>
      <w:r w:rsidR="001C602E" w:rsidRPr="0069088C">
        <w:rPr>
          <w:rFonts w:ascii="Times New Roman" w:hAnsi="Times New Roman" w:cs="Times New Roman"/>
          <w:lang w:val="en-US"/>
        </w:rPr>
        <w:t xml:space="preserve">this study, </w:t>
      </w:r>
      <w:r w:rsidRPr="0069088C">
        <w:rPr>
          <w:rFonts w:ascii="Times New Roman" w:hAnsi="Times New Roman" w:cs="Times New Roman"/>
          <w:lang w:val="en-US"/>
        </w:rPr>
        <w:t>the simultaneous curcumin</w:t>
      </w:r>
      <w:r w:rsidR="001C602E" w:rsidRPr="0069088C">
        <w:rPr>
          <w:rFonts w:ascii="Times New Roman" w:hAnsi="Times New Roman" w:cs="Times New Roman"/>
          <w:lang w:val="en-US"/>
        </w:rPr>
        <w:t xml:space="preserve"> and </w:t>
      </w:r>
      <w:r w:rsidRPr="0069088C">
        <w:rPr>
          <w:rFonts w:ascii="Times New Roman" w:hAnsi="Times New Roman" w:cs="Times New Roman"/>
          <w:lang w:val="en-US"/>
        </w:rPr>
        <w:t xml:space="preserve">AMO, ERY and GEN </w:t>
      </w:r>
      <w:r w:rsidR="001C602E" w:rsidRPr="0069088C">
        <w:rPr>
          <w:rFonts w:ascii="Times New Roman" w:hAnsi="Times New Roman" w:cs="Times New Roman"/>
          <w:lang w:val="en-US"/>
        </w:rPr>
        <w:t xml:space="preserve">internalization </w:t>
      </w:r>
      <w:r w:rsidRPr="0069088C">
        <w:rPr>
          <w:rFonts w:ascii="Times New Roman" w:hAnsi="Times New Roman" w:cs="Times New Roman"/>
          <w:lang w:val="en-US"/>
        </w:rPr>
        <w:t xml:space="preserve">was less efficient in </w:t>
      </w:r>
      <w:r w:rsidR="00E36B5C" w:rsidRPr="0069088C">
        <w:rPr>
          <w:rFonts w:ascii="Times New Roman" w:hAnsi="Times New Roman" w:cs="Times New Roman"/>
          <w:lang w:val="en-US"/>
        </w:rPr>
        <w:t xml:space="preserve">bacterial </w:t>
      </w:r>
      <w:r w:rsidRPr="0069088C">
        <w:rPr>
          <w:rFonts w:ascii="Times New Roman" w:hAnsi="Times New Roman" w:cs="Times New Roman"/>
          <w:lang w:val="en-US"/>
        </w:rPr>
        <w:t>inactivati</w:t>
      </w:r>
      <w:r w:rsidR="00E36B5C" w:rsidRPr="0069088C">
        <w:rPr>
          <w:rFonts w:ascii="Times New Roman" w:hAnsi="Times New Roman" w:cs="Times New Roman"/>
          <w:lang w:val="en-US"/>
        </w:rPr>
        <w:t>on than</w:t>
      </w:r>
      <w:r w:rsidRPr="0069088C">
        <w:rPr>
          <w:rFonts w:ascii="Times New Roman" w:hAnsi="Times New Roman" w:cs="Times New Roman"/>
          <w:lang w:val="en-US"/>
        </w:rPr>
        <w:t xml:space="preserve"> the oxidative stress protocol </w:t>
      </w:r>
      <w:r w:rsidR="00E36B5C" w:rsidRPr="0069088C">
        <w:rPr>
          <w:rFonts w:ascii="Times New Roman" w:hAnsi="Times New Roman" w:cs="Times New Roman"/>
          <w:lang w:val="en-US"/>
        </w:rPr>
        <w:t xml:space="preserve">which </w:t>
      </w:r>
      <w:r w:rsidRPr="0069088C">
        <w:rPr>
          <w:rFonts w:ascii="Times New Roman" w:hAnsi="Times New Roman" w:cs="Times New Roman"/>
          <w:lang w:val="en-US"/>
        </w:rPr>
        <w:t>potentia</w:t>
      </w:r>
      <w:r w:rsidR="00E36B5C" w:rsidRPr="0069088C">
        <w:rPr>
          <w:rFonts w:ascii="Times New Roman" w:hAnsi="Times New Roman" w:cs="Times New Roman"/>
          <w:lang w:val="en-US"/>
        </w:rPr>
        <w:t>lized the therapy</w:t>
      </w:r>
      <w:r w:rsidRPr="0069088C">
        <w:rPr>
          <w:rFonts w:ascii="Times New Roman" w:hAnsi="Times New Roman" w:cs="Times New Roman"/>
          <w:lang w:val="en-US"/>
        </w:rPr>
        <w:t xml:space="preserve">. </w:t>
      </w:r>
      <w:r w:rsidR="0067401A" w:rsidRPr="0069088C">
        <w:rPr>
          <w:rFonts w:ascii="Times New Roman" w:hAnsi="Times New Roman" w:cs="Times New Roman"/>
          <w:lang w:val="en-US"/>
        </w:rPr>
        <w:t xml:space="preserve">In this scenario, we assume that antibiotics exposed to irradiation can promote a disturbance in the medium although it does not correspond to its spectral region of absorption. </w:t>
      </w:r>
      <w:r w:rsidR="003F23C8" w:rsidRPr="0069088C">
        <w:rPr>
          <w:rFonts w:ascii="Times New Roman" w:hAnsi="Times New Roman" w:cs="Times New Roman"/>
          <w:lang w:val="en-US"/>
        </w:rPr>
        <w:t xml:space="preserve">Antibiotics can act together with biomolecules such as ROS, which may </w:t>
      </w:r>
      <w:r w:rsidR="003F23C8" w:rsidRPr="0069088C">
        <w:rPr>
          <w:rFonts w:ascii="Times New Roman" w:hAnsi="Times New Roman" w:cs="Times New Roman"/>
          <w:lang w:val="en-US"/>
        </w:rPr>
        <w:lastRenderedPageBreak/>
        <w:t>reduce the PDI effectiveness when incorporation results demonstrating a greater and faster cellular accumulation of curcumin (</w:t>
      </w:r>
      <w:r w:rsidR="002D0048" w:rsidRPr="0069088C">
        <w:rPr>
          <w:rFonts w:ascii="Times New Roman" w:hAnsi="Times New Roman" w:cs="Times New Roman"/>
          <w:lang w:val="en-US"/>
        </w:rPr>
        <w:t>Fig</w:t>
      </w:r>
      <w:r w:rsidR="00E63806" w:rsidRPr="0069088C">
        <w:rPr>
          <w:rFonts w:ascii="Times New Roman" w:hAnsi="Times New Roman" w:cs="Times New Roman"/>
          <w:lang w:val="en-US"/>
        </w:rPr>
        <w:t>ure</w:t>
      </w:r>
      <w:r w:rsidR="002D0048" w:rsidRPr="0069088C">
        <w:rPr>
          <w:rFonts w:ascii="Times New Roman" w:hAnsi="Times New Roman" w:cs="Times New Roman"/>
          <w:lang w:val="en-US"/>
        </w:rPr>
        <w:t xml:space="preserve"> </w:t>
      </w:r>
      <w:r w:rsidR="003F23C8" w:rsidRPr="0069088C">
        <w:rPr>
          <w:rFonts w:ascii="Times New Roman" w:hAnsi="Times New Roman" w:cs="Times New Roman"/>
          <w:lang w:val="en-US"/>
        </w:rPr>
        <w:t>S</w:t>
      </w:r>
      <w:r w:rsidR="00E63806" w:rsidRPr="0069088C">
        <w:rPr>
          <w:rFonts w:ascii="Times New Roman" w:hAnsi="Times New Roman" w:cs="Times New Roman"/>
          <w:lang w:val="en-US"/>
        </w:rPr>
        <w:t>2</w:t>
      </w:r>
      <w:r w:rsidR="002D0048" w:rsidRPr="0069088C">
        <w:rPr>
          <w:rFonts w:ascii="Times New Roman" w:hAnsi="Times New Roman" w:cs="Times New Roman"/>
          <w:lang w:val="en-US"/>
        </w:rPr>
        <w:t>, S</w:t>
      </w:r>
      <w:r w:rsidR="00E63806" w:rsidRPr="0069088C">
        <w:rPr>
          <w:rFonts w:ascii="Times New Roman" w:hAnsi="Times New Roman" w:cs="Times New Roman"/>
          <w:lang w:val="en-US"/>
        </w:rPr>
        <w:t>3</w:t>
      </w:r>
      <w:r w:rsidR="003F23C8" w:rsidRPr="0069088C">
        <w:rPr>
          <w:rFonts w:ascii="Times New Roman" w:hAnsi="Times New Roman" w:cs="Times New Roman"/>
          <w:lang w:val="en-US"/>
        </w:rPr>
        <w:t xml:space="preserve">). </w:t>
      </w:r>
    </w:p>
    <w:p w14:paraId="7C2E606A" w14:textId="402A085D" w:rsidR="000E698E" w:rsidRPr="0069088C" w:rsidRDefault="000E698E" w:rsidP="00B73378">
      <w:pPr>
        <w:rPr>
          <w:rFonts w:ascii="Times New Roman" w:hAnsi="Times New Roman" w:cs="Times New Roman"/>
          <w:lang w:val="en-US"/>
        </w:rPr>
      </w:pPr>
      <w:r w:rsidRPr="0069088C">
        <w:rPr>
          <w:rFonts w:ascii="Times New Roman" w:hAnsi="Times New Roman" w:cs="Times New Roman"/>
          <w:lang w:val="en-US"/>
        </w:rPr>
        <w:t>OH, O</w:t>
      </w:r>
      <w:r w:rsidRPr="0069088C">
        <w:rPr>
          <w:rFonts w:ascii="Times New Roman" w:hAnsi="Times New Roman" w:cs="Times New Roman"/>
          <w:vertAlign w:val="subscript"/>
          <w:lang w:val="en-US"/>
        </w:rPr>
        <w:t>2</w:t>
      </w:r>
      <w:r w:rsidRPr="0069088C">
        <w:rPr>
          <w:rFonts w:ascii="Times New Roman" w:hAnsi="Times New Roman" w:cs="Times New Roman"/>
          <w:vertAlign w:val="superscript"/>
          <w:lang w:val="en-US"/>
        </w:rPr>
        <w:t>−</w:t>
      </w:r>
      <w:r w:rsidRPr="0069088C">
        <w:rPr>
          <w:rFonts w:ascii="Times New Roman" w:hAnsi="Times New Roman" w:cs="Times New Roman"/>
          <w:lang w:val="en-US"/>
        </w:rPr>
        <w:t xml:space="preserve">, </w:t>
      </w:r>
      <w:r w:rsidRPr="0069088C">
        <w:rPr>
          <w:rFonts w:ascii="Times New Roman" w:hAnsi="Times New Roman" w:cs="Times New Roman"/>
          <w:vertAlign w:val="superscript"/>
          <w:lang w:val="en-US"/>
        </w:rPr>
        <w:t>1</w:t>
      </w:r>
      <w:r w:rsidRPr="0069088C">
        <w:rPr>
          <w:rFonts w:ascii="Times New Roman" w:hAnsi="Times New Roman" w:cs="Times New Roman"/>
          <w:lang w:val="en-US"/>
        </w:rPr>
        <w:t>O</w:t>
      </w:r>
      <w:r w:rsidRPr="0069088C">
        <w:rPr>
          <w:rFonts w:ascii="Times New Roman" w:hAnsi="Times New Roman" w:cs="Times New Roman"/>
          <w:vertAlign w:val="subscript"/>
          <w:lang w:val="en-US"/>
        </w:rPr>
        <w:t>2</w:t>
      </w:r>
      <w:r w:rsidRPr="0069088C">
        <w:rPr>
          <w:rFonts w:ascii="Times New Roman" w:hAnsi="Times New Roman" w:cs="Times New Roman"/>
          <w:lang w:val="en-US"/>
        </w:rPr>
        <w:t xml:space="preserve"> </w:t>
      </w:r>
      <w:r w:rsidR="00F56304" w:rsidRPr="0069088C">
        <w:rPr>
          <w:rFonts w:ascii="Times New Roman" w:hAnsi="Times New Roman" w:cs="Times New Roman"/>
          <w:lang w:val="en-US"/>
        </w:rPr>
        <w:t xml:space="preserve">from Fenton oxidation, photocatalytic oxidation, electrochemical oxidation has been </w:t>
      </w:r>
      <w:r w:rsidRPr="0069088C">
        <w:rPr>
          <w:rFonts w:ascii="Times New Roman" w:hAnsi="Times New Roman" w:cs="Times New Roman"/>
          <w:lang w:val="en-US"/>
        </w:rPr>
        <w:t>promote</w:t>
      </w:r>
      <w:r w:rsidR="00F56304" w:rsidRPr="0069088C">
        <w:rPr>
          <w:rFonts w:ascii="Times New Roman" w:hAnsi="Times New Roman" w:cs="Times New Roman"/>
          <w:lang w:val="en-US"/>
        </w:rPr>
        <w:t>d</w:t>
      </w:r>
      <w:r w:rsidRPr="0069088C">
        <w:rPr>
          <w:rFonts w:ascii="Times New Roman" w:hAnsi="Times New Roman" w:cs="Times New Roman"/>
          <w:lang w:val="en-US"/>
        </w:rPr>
        <w:t xml:space="preserve"> the oxidation and reduction of several classes of antibiotics</w:t>
      </w:r>
      <w:r w:rsidR="00F56304" w:rsidRPr="0069088C">
        <w:rPr>
          <w:rFonts w:ascii="Times New Roman" w:hAnsi="Times New Roman" w:cs="Times New Roman"/>
          <w:lang w:val="en-US"/>
        </w:rPr>
        <w:t xml:space="preserve"> in drinking water treatments</w:t>
      </w:r>
      <w:r w:rsidRPr="0069088C">
        <w:rPr>
          <w:rFonts w:ascii="Times New Roman" w:hAnsi="Times New Roman" w:cs="Times New Roman"/>
          <w:lang w:val="en-US"/>
        </w:rPr>
        <w:t>, obtaining as reaction product compounds with preserved central structure and intermediates.</w:t>
      </w:r>
      <w:r w:rsidRPr="0069088C">
        <w:rPr>
          <w:rFonts w:ascii="Times New Roman" w:hAnsi="Times New Roman" w:cs="Times New Roman"/>
          <w:lang w:val="en-US"/>
        </w:rPr>
        <w:fldChar w:fldCharType="begin" w:fldLock="1"/>
      </w:r>
      <w:r w:rsidR="006B4E26" w:rsidRPr="0069088C">
        <w:rPr>
          <w:rFonts w:ascii="Times New Roman" w:hAnsi="Times New Roman" w:cs="Times New Roman"/>
          <w:lang w:val="en-US"/>
        </w:rPr>
        <w:instrText xml:space="preserve">ADDIN CSL_CITATION {"citationItems":[{"id":"ITEM-1","itemData":{"DOI":"10.1016/J.WATRES.2018.11.009","ISSN":"0043-1354","PMID":"30448736","abstract":"Sulfonamide antibiotics (SAs) are increasingly detected as aquatic contaminants and exist as different dissociated species depending on the pH of the water. Their removal in sunlit surface waters is governed by photochemical transformation. Here we report a detailed examination of the hydroxyl radical (•OH) and singlet oxygen (1O2) mediated photooxidation of nine SAs: sulfamethoxazole, sulfisoxazole, sulfamethizole, sulfathiazole, sulfamethazine, sulfamerazine, sulfadiazine, sulfachloropyridazine and sulfadimethoxine. Both •OH and 1O2 oxidation kinetics varied depending on the dominant protonated states of the SA in question (H2SAs+, HSAs0 and SAs−) as a function of pH. Based on competition kinetic experiments and matrix deconvolution calculations, HSAs0 or SAs− (pH </w:instrText>
      </w:r>
      <w:r w:rsidR="006B4E26" w:rsidRPr="0069088C">
        <w:rPr>
          <w:rFonts w:ascii="Cambria Math" w:hAnsi="Cambria Math" w:cs="Cambria Math"/>
          <w:lang w:val="en-US"/>
        </w:rPr>
        <w:instrText>∼</w:instrText>
      </w:r>
      <w:r w:rsidR="006B4E26" w:rsidRPr="0069088C">
        <w:rPr>
          <w:rFonts w:ascii="Times New Roman" w:hAnsi="Times New Roman" w:cs="Times New Roman"/>
          <w:lang w:val="en-US"/>
        </w:rPr>
        <w:instrText xml:space="preserve">5–8) were observed to be more highly reactive towards •OH, while SAs− (pH </w:instrText>
      </w:r>
      <w:r w:rsidR="006B4E26" w:rsidRPr="0069088C">
        <w:rPr>
          <w:rFonts w:ascii="Cambria Math" w:hAnsi="Cambria Math" w:cs="Cambria Math"/>
          <w:lang w:val="en-US"/>
        </w:rPr>
        <w:instrText>∼</w:instrText>
      </w:r>
      <w:r w:rsidR="006B4E26" w:rsidRPr="0069088C">
        <w:rPr>
          <w:rFonts w:ascii="Times New Roman" w:hAnsi="Times New Roman" w:cs="Times New Roman"/>
          <w:lang w:val="en-US"/>
        </w:rPr>
        <w:instrText>8) react the fastest with 1O2 for most of the SAs tested. Using the empirically derived rates of reaction for the speciated forms at different pHs, the environmental half-lives were determined using typical 1O2 and •OH concentrations observed in the environment. This approach suggests that photochemical 1O2 oxidation contributes more than •OH oxidation and direct photolysis to the overall phototransformation of SAs in sunlit waters. Based on the identification of key photointermediates using tandem mass spectrometry, 1O2 oxidation generally occurred at the amino moiety on the molecule, whereas •OH reaction experienced multi-site hydroxylation. Both these reactions preserve the basic parent structure of the compounds and raise concerns that the routes of phototransformation give rise to intermediates with similar antimicrobial potency as the parent SAs. We therefore recommend that these phototransformation pathways are included in risk assessments concerning the presence and fate of SAs in waste and surface waters.","author":[{"dropping-particle":"","family":"Ge","given":"Linke","non-dropping-particle":"","parse-names":false,"suffix":""},{"dropping-particle":"","family":"Zhang","given":"Peng","non-dropping-particle":"","parse-names":false,"suffix":""},{"dropping-particle":"","family":"Halsall","given":"Crispin","non-dropping-particle":"","parse-names":false,"suffix":""},{"dropping-particle":"","family":"Li","given":"Yanying","non-dropping-particle":"","parse-names":false,"suffix":""},{"dropping-particle":"","family":"Chen","given":"Chang Er","non-dropping-particle":"","parse-names":false,"suffix":""},{"dropping-particle":"","family":"Li","given":"Jun","non-dropping-particle":"","parse-names":false,"suffix":""},{"dropping-particle":"","family":"Sun","given":"Helin","non-dropping-particle":"","parse-names":false,"suffix":""},{"dropping-particle":"","family":"Yao","given":"Ziwei","non-dropping-particle":"","parse-names":false,"suffix":""}],"container-title":"Water Research","id":"ITEM-1","issued":{"date-parts":[["2019","2","1"]]},"page":"243-250","publisher":"Pergamon","title":"The importance of reactive oxygen species on the aqueous phototransformation of sulfonamide antibiotics: kinetics, pathways, and comparisons with direct photolysis","type":"article-journal","volume":"149"},"uris":["http://www.mendeley.com/documents/?uuid=96b2a339-7203-38df-b04f-3f52552d32c0"]},{"id":"ITEM-2","itemData":{"DOI":"10.1016/J.CHEMOSPHERE.2009.11.024","ISSN":"0045-6535","PMID":"20022625","abstract":"This study involves elucidating the destruction mechanisms of four tetracyclines via reactions with {radical dot}OH and solvated electrons (eaq-). The first step is to evaluate the bimolecular rate constants for the reaction of {radical dot}OH and eaq-. Transient absorption spectra for the intermediates formed by the reaction of {radical dot}OH were also measured over the time period of 1-250 μs to assist in selecting the appropriate wavelength for the absolute bimolecular reaction rate constants. For these four compounds, tetracycline, chlortetracycline, oxytetracycline, and doxycycline, the absolute rate constants with {radical dot}OH were (6.3 ± 0.1) × 109, (5.2 ± 0.2) × 109, (5.6 ± 0.1) × 109, and (7.6 ± 0.1) × 109 M-1 s-1, and for eaq- were (2.2 ± 0.1) × 1010, (1.3 ± 0.2) × 1010, (2.3 ± 0.1) × 1010, and (2.5 ± 0.1) × 1010 M-1 s-1, respectively. The efficiencies for {radical dot}OH reaction with the four tetracyclines ranged from 32% to 60%. The efficiencies for eaq- reaction were 15-29% except for chlortetracycline which was significantly higher (97%) than the other tetracyclines in spite of the similar reaction rate constants for eaq- in all cases. To evaluate the use of advanced oxidation/reduction processes for the destruction of tetracyclines it is necessary to have reaction rates, reaction efficiencies and destruction mechanisms. This paper is the first step in eventually realizing the formulation of a detailed kinetic destruction model for these four tetracycline antibiotics. © 2009 Elsevier Ltd. All rights reserved.","author":[{"dropping-particle":"","family":"Jeong","given":"Joonseon","non-dropping-particle":"","parse-names":false,"suffix":""},{"dropping-particle":"","family":"Song","given":"Weihua","non-dropping-particle":"","parse-names":false,"suffix":""},{"dropping-particle":"","family":"Cooper","given":"William J.","non-dropping-particle":"","parse-names":false,"suffix":""},{"dropping-particle":"","family":"Jung","given":"Jinyoung","non-dropping-particle":"","parse-names":false,"suffix":""},{"dropping-particle":"","family":"Greaves","given":"John","non-dropping-particle":"","parse-names":false,"suffix":""}],"container-title":"Chemosphere","id":"ITEM-2","issue":"5","issued":{"date-parts":[["2010","1","1"]]},"page":"533-540","publisher":"Pergamon","title":"Degradation of tetracycline antibiotics: Mechanisms and kinetic studies for advanced oxidation/reduction processes","type":"article-journal","volume":"78"},"uris":["http://www.mendeley.com/documents/?uuid=7a5f43b7-a469-3378-9402-a45dcc50174c"]}],"mendeley":{"formattedCitation":"&lt;sup&gt;27,28&lt;/sup&gt;","plainTextFormattedCitation":"27,28","previouslyFormattedCitation":"&lt;sup&gt;27,28&lt;/sup&gt;"},"properties":{"noteIndex":0},"schema":"https://github.com/citation-style-language/schema/raw/master/csl-citation.json"}</w:instrText>
      </w:r>
      <w:r w:rsidRPr="0069088C">
        <w:rPr>
          <w:rFonts w:ascii="Times New Roman" w:hAnsi="Times New Roman" w:cs="Times New Roman"/>
          <w:lang w:val="en-US"/>
        </w:rPr>
        <w:fldChar w:fldCharType="separate"/>
      </w:r>
      <w:r w:rsidR="00BA6F0D" w:rsidRPr="0069088C">
        <w:rPr>
          <w:rFonts w:ascii="Times New Roman" w:hAnsi="Times New Roman" w:cs="Times New Roman"/>
          <w:noProof/>
          <w:vertAlign w:val="superscript"/>
          <w:lang w:val="en-US"/>
        </w:rPr>
        <w:t>27,28</w:t>
      </w:r>
      <w:r w:rsidRPr="0069088C">
        <w:rPr>
          <w:rFonts w:ascii="Times New Roman" w:hAnsi="Times New Roman" w:cs="Times New Roman"/>
          <w:lang w:val="en-US"/>
        </w:rPr>
        <w:fldChar w:fldCharType="end"/>
      </w:r>
      <w:r w:rsidRPr="0069088C">
        <w:rPr>
          <w:rFonts w:ascii="Times New Roman" w:hAnsi="Times New Roman" w:cs="Times New Roman"/>
          <w:lang w:val="en-US"/>
        </w:rPr>
        <w:t xml:space="preserve"> Similarly, the antibiotic </w:t>
      </w:r>
      <w:r w:rsidR="00461287" w:rsidRPr="0069088C">
        <w:rPr>
          <w:rFonts w:ascii="Times New Roman" w:hAnsi="Times New Roman" w:cs="Times New Roman"/>
          <w:lang w:val="en-US"/>
        </w:rPr>
        <w:t xml:space="preserve">presence </w:t>
      </w:r>
      <w:r w:rsidRPr="0069088C">
        <w:rPr>
          <w:rFonts w:ascii="Times New Roman" w:hAnsi="Times New Roman" w:cs="Times New Roman"/>
          <w:lang w:val="en-US"/>
        </w:rPr>
        <w:t xml:space="preserve">during the </w:t>
      </w:r>
      <w:r w:rsidR="00461287" w:rsidRPr="0069088C">
        <w:rPr>
          <w:rFonts w:ascii="Times New Roman" w:hAnsi="Times New Roman" w:cs="Times New Roman"/>
          <w:lang w:val="en-US"/>
        </w:rPr>
        <w:t xml:space="preserve">ROS </w:t>
      </w:r>
      <w:r w:rsidRPr="0069088C">
        <w:rPr>
          <w:rFonts w:ascii="Times New Roman" w:hAnsi="Times New Roman" w:cs="Times New Roman"/>
          <w:lang w:val="en-US"/>
        </w:rPr>
        <w:t xml:space="preserve">production  by PDI enables the same scenario promoted by </w:t>
      </w:r>
      <w:r w:rsidR="00F56304" w:rsidRPr="0069088C">
        <w:rPr>
          <w:rFonts w:ascii="Times New Roman" w:hAnsi="Times New Roman" w:cs="Times New Roman"/>
          <w:lang w:val="en-US"/>
        </w:rPr>
        <w:t xml:space="preserve">oxidative processes </w:t>
      </w:r>
      <w:r w:rsidR="00461287" w:rsidRPr="0069088C">
        <w:rPr>
          <w:rFonts w:ascii="Times New Roman" w:hAnsi="Times New Roman" w:cs="Times New Roman"/>
          <w:lang w:val="en-US"/>
        </w:rPr>
        <w:t>(</w:t>
      </w:r>
      <w:r w:rsidRPr="0069088C">
        <w:rPr>
          <w:rFonts w:ascii="Times New Roman" w:hAnsi="Times New Roman" w:cs="Times New Roman"/>
          <w:lang w:val="en-US"/>
        </w:rPr>
        <w:t>AOPs</w:t>
      </w:r>
      <w:r w:rsidR="00461287" w:rsidRPr="0069088C">
        <w:rPr>
          <w:rFonts w:ascii="Times New Roman" w:hAnsi="Times New Roman" w:cs="Times New Roman"/>
          <w:lang w:val="en-US"/>
        </w:rPr>
        <w:t>) and,</w:t>
      </w:r>
      <w:r w:rsidRPr="0069088C">
        <w:rPr>
          <w:rFonts w:ascii="Times New Roman" w:hAnsi="Times New Roman" w:cs="Times New Roman"/>
          <w:lang w:val="en-US"/>
        </w:rPr>
        <w:t xml:space="preserve"> </w:t>
      </w:r>
      <w:r w:rsidR="00461287" w:rsidRPr="0069088C">
        <w:rPr>
          <w:rFonts w:ascii="Times New Roman" w:hAnsi="Times New Roman" w:cs="Times New Roman"/>
          <w:lang w:val="en-US"/>
        </w:rPr>
        <w:t xml:space="preserve">occurring antibiotic </w:t>
      </w:r>
      <w:r w:rsidRPr="0069088C">
        <w:rPr>
          <w:rFonts w:ascii="Times New Roman" w:hAnsi="Times New Roman" w:cs="Times New Roman"/>
          <w:lang w:val="en-US"/>
        </w:rPr>
        <w:t>degradation during the photodynamic action.</w:t>
      </w:r>
    </w:p>
    <w:bookmarkEnd w:id="0"/>
    <w:bookmarkEnd w:id="1"/>
    <w:p w14:paraId="554E1DD2" w14:textId="7B8E1153" w:rsidR="00893194" w:rsidRPr="0069088C" w:rsidRDefault="002D0048" w:rsidP="00B73378">
      <w:pPr>
        <w:rPr>
          <w:rFonts w:ascii="Times New Roman" w:hAnsi="Times New Roman" w:cs="Times New Roman"/>
          <w:lang w:val="en-US"/>
        </w:rPr>
      </w:pPr>
      <w:r w:rsidRPr="0069088C">
        <w:rPr>
          <w:rFonts w:ascii="Times New Roman" w:hAnsi="Times New Roman" w:cs="Times New Roman"/>
          <w:lang w:val="en-US"/>
        </w:rPr>
        <w:t>The efficiency of a PS can be modulated with the environment in which it is present. In the case of curcumin, as it is a mostly hydrophobic molecule, it is expected that in the aqueous environment the molecules will be aggregated as evidenced b</w:t>
      </w:r>
      <w:r w:rsidR="00C33D0B" w:rsidRPr="0069088C">
        <w:rPr>
          <w:rFonts w:ascii="Times New Roman" w:hAnsi="Times New Roman" w:cs="Times New Roman"/>
          <w:lang w:val="en-US"/>
        </w:rPr>
        <w:t>y the predominance of short lifetimes</w:t>
      </w:r>
      <w:r w:rsidRPr="0069088C">
        <w:rPr>
          <w:rFonts w:ascii="Times New Roman" w:hAnsi="Times New Roman" w:cs="Times New Roman"/>
          <w:lang w:val="en-US"/>
        </w:rPr>
        <w:t xml:space="preserve"> and the red shift in the emission spectrum, also observed in the presence of the antibiotic in aqueous medium (Figure</w:t>
      </w:r>
      <w:r w:rsidR="00E63806" w:rsidRPr="0069088C">
        <w:rPr>
          <w:rFonts w:ascii="Times New Roman" w:hAnsi="Times New Roman" w:cs="Times New Roman"/>
          <w:lang w:val="en-US"/>
        </w:rPr>
        <w:t xml:space="preserve"> S2</w:t>
      </w:r>
      <w:r w:rsidRPr="0069088C">
        <w:rPr>
          <w:rFonts w:ascii="Times New Roman" w:hAnsi="Times New Roman" w:cs="Times New Roman"/>
          <w:lang w:val="en-US"/>
        </w:rPr>
        <w:t>)</w:t>
      </w:r>
      <w:r w:rsidR="00C33D0B" w:rsidRPr="0069088C">
        <w:rPr>
          <w:rFonts w:ascii="Times New Roman" w:hAnsi="Times New Roman" w:cs="Times New Roman"/>
          <w:lang w:val="en-US"/>
        </w:rPr>
        <w:t xml:space="preserve">. </w:t>
      </w:r>
      <w:r w:rsidR="00B73378" w:rsidRPr="0069088C">
        <w:rPr>
          <w:rFonts w:ascii="Times New Roman" w:hAnsi="Times New Roman" w:cs="Times New Roman"/>
          <w:lang w:val="en-US"/>
        </w:rPr>
        <w:t xml:space="preserve">When </w:t>
      </w:r>
      <w:r w:rsidR="0020237B" w:rsidRPr="0069088C">
        <w:rPr>
          <w:rFonts w:ascii="Times New Roman" w:hAnsi="Times New Roman" w:cs="Times New Roman"/>
          <w:lang w:val="en-US"/>
        </w:rPr>
        <w:t>PS molecules are</w:t>
      </w:r>
      <w:r w:rsidR="00B73378" w:rsidRPr="0069088C">
        <w:rPr>
          <w:rFonts w:ascii="Times New Roman" w:hAnsi="Times New Roman" w:cs="Times New Roman"/>
          <w:lang w:val="en-US"/>
        </w:rPr>
        <w:t xml:space="preserve"> </w:t>
      </w:r>
      <w:r w:rsidR="00BC5287" w:rsidRPr="0069088C">
        <w:rPr>
          <w:rFonts w:ascii="Times New Roman" w:hAnsi="Times New Roman" w:cs="Times New Roman"/>
          <w:lang w:val="en-US"/>
        </w:rPr>
        <w:t>internalized</w:t>
      </w:r>
      <w:r w:rsidR="0020237B" w:rsidRPr="0069088C">
        <w:rPr>
          <w:rFonts w:ascii="Times New Roman" w:hAnsi="Times New Roman" w:cs="Times New Roman"/>
          <w:lang w:val="en-US"/>
        </w:rPr>
        <w:t xml:space="preserve"> are </w:t>
      </w:r>
      <w:r w:rsidR="00B73378" w:rsidRPr="0069088C">
        <w:rPr>
          <w:rFonts w:ascii="Times New Roman" w:hAnsi="Times New Roman" w:cs="Times New Roman"/>
          <w:lang w:val="en-US"/>
        </w:rPr>
        <w:t xml:space="preserve">free </w:t>
      </w:r>
      <w:r w:rsidR="00BC5287" w:rsidRPr="0069088C">
        <w:rPr>
          <w:rFonts w:ascii="Times New Roman" w:hAnsi="Times New Roman" w:cs="Times New Roman"/>
          <w:lang w:val="en-US"/>
        </w:rPr>
        <w:t>inside</w:t>
      </w:r>
      <w:r w:rsidR="00B73378" w:rsidRPr="0069088C">
        <w:rPr>
          <w:rFonts w:ascii="Times New Roman" w:hAnsi="Times New Roman" w:cs="Times New Roman"/>
          <w:lang w:val="en-US"/>
        </w:rPr>
        <w:t>, having a greater efficiency in the production of ROS when compared to external molecules in solution. However, because the intracellular concentration is approximately in the millimolar order of magnitude, we hypothesized that the curcumin molecules are spatially distributed close to the energy transfer radius</w:t>
      </w:r>
      <w:r w:rsidRPr="0069088C">
        <w:rPr>
          <w:rFonts w:ascii="Times New Roman" w:hAnsi="Times New Roman" w:cs="Times New Roman"/>
          <w:lang w:val="en-US"/>
        </w:rPr>
        <w:t xml:space="preserve"> (Eq. S1-3)</w:t>
      </w:r>
      <w:r w:rsidR="00B73378" w:rsidRPr="0069088C">
        <w:rPr>
          <w:rFonts w:ascii="Times New Roman" w:hAnsi="Times New Roman" w:cs="Times New Roman"/>
          <w:lang w:val="en-US"/>
        </w:rPr>
        <w:t>. Thus, when a photon is absorbed, the efficiency of the energy transferred to oxygen molecules is decreased due to the increase of non-radioactive transfers between curcumin</w:t>
      </w:r>
      <w:r w:rsidR="00F65B41" w:rsidRPr="0069088C">
        <w:rPr>
          <w:rFonts w:ascii="Times New Roman" w:hAnsi="Times New Roman" w:cs="Times New Roman"/>
          <w:lang w:val="en-US"/>
        </w:rPr>
        <w:t xml:space="preserve"> (Figure S3</w:t>
      </w:r>
      <w:r w:rsidR="00C33D0B" w:rsidRPr="0069088C">
        <w:rPr>
          <w:rFonts w:ascii="Times New Roman" w:hAnsi="Times New Roman" w:cs="Times New Roman"/>
          <w:lang w:val="en-US"/>
        </w:rPr>
        <w:t>)</w:t>
      </w:r>
      <w:r w:rsidR="00B73378" w:rsidRPr="0069088C">
        <w:rPr>
          <w:rFonts w:ascii="Times New Roman" w:hAnsi="Times New Roman" w:cs="Times New Roman"/>
          <w:lang w:val="en-US"/>
        </w:rPr>
        <w:t>, thus decreasing the efficiency of PDI when compared to internalization of curcumin in lower concentration in the absence of antibiotics, which corresponds to the oxidative stress protocol.</w:t>
      </w:r>
    </w:p>
    <w:p w14:paraId="10B383D8" w14:textId="36573287" w:rsidR="008E166A" w:rsidRPr="0069088C" w:rsidRDefault="008E166A" w:rsidP="008E166A">
      <w:pPr>
        <w:rPr>
          <w:rFonts w:ascii="Times New Roman" w:hAnsi="Times New Roman" w:cs="Times New Roman"/>
          <w:lang w:val="en-US"/>
        </w:rPr>
      </w:pPr>
      <w:r w:rsidRPr="0069088C">
        <w:rPr>
          <w:rFonts w:ascii="Times New Roman" w:hAnsi="Times New Roman" w:cs="Times New Roman"/>
          <w:lang w:val="en-US"/>
        </w:rPr>
        <w:t xml:space="preserve">By analyzing the time of curcumin fluorescence decay inside the microorganism, we note that this time is severely affected by the concentration conditions as well as the presence of antibiotics. The decay is different from a </w:t>
      </w:r>
      <w:r w:rsidR="00FF39F4" w:rsidRPr="0069088C">
        <w:rPr>
          <w:rFonts w:ascii="Times New Roman" w:hAnsi="Times New Roman" w:cs="Times New Roman"/>
          <w:lang w:val="en-US"/>
        </w:rPr>
        <w:t>monoexponencial</w:t>
      </w:r>
      <w:r w:rsidRPr="0069088C">
        <w:rPr>
          <w:rFonts w:ascii="Times New Roman" w:hAnsi="Times New Roman" w:cs="Times New Roman"/>
          <w:lang w:val="en-US"/>
        </w:rPr>
        <w:t xml:space="preserve">, as indicated by the nonlining of fluorescence curves. This indicates a situation that goes beyond the variation of the excited state with number represented by the excited molecules. It is initially observed that the non-saturated case always decreases more slowly in the saturated, demonstrating that the saturation regimen of the concentration (flow molecules entering equivalent to the flow of molecules leaving) washing a complex state of alteration of the environment for the curcumin molecule, which accelerates the transfer of energy by non-radioactive methods, accelerating the natural decay of the excited state. Because this </w:t>
      </w:r>
      <w:r w:rsidRPr="0069088C">
        <w:rPr>
          <w:rFonts w:ascii="Times New Roman" w:hAnsi="Times New Roman" w:cs="Times New Roman"/>
          <w:lang w:val="en-US"/>
        </w:rPr>
        <w:lastRenderedPageBreak/>
        <w:t>behavior is related to the antibiotic, it suggests that such molecules have a fundamental participation in this process.</w:t>
      </w:r>
    </w:p>
    <w:p w14:paraId="143BA347" w14:textId="28A1FA2D" w:rsidR="008E166A" w:rsidRPr="0069088C" w:rsidRDefault="008E166A" w:rsidP="008E166A">
      <w:pPr>
        <w:rPr>
          <w:rFonts w:ascii="Times New Roman" w:hAnsi="Times New Roman" w:cs="Times New Roman"/>
          <w:lang w:val="en-US"/>
        </w:rPr>
      </w:pPr>
      <w:r w:rsidRPr="0069088C">
        <w:rPr>
          <w:rFonts w:ascii="Times New Roman" w:hAnsi="Times New Roman" w:cs="Times New Roman"/>
          <w:lang w:val="en-US"/>
        </w:rPr>
        <w:t xml:space="preserve">To better understand this behavior the s3 figure shows all the data observed, while S3.B-C show the observed behavior. From the point of view of influencing the life time of the excited state of curcumin, it is observed that I AMO is lower than the ERY, which in turn is less than GEN. This also demonstrates that this should be the order of curcumin interaction with the antibiotic molecules, that </w:t>
      </w:r>
      <w:r w:rsidR="00FF39F4" w:rsidRPr="0069088C">
        <w:rPr>
          <w:rFonts w:ascii="Times New Roman" w:hAnsi="Times New Roman" w:cs="Times New Roman"/>
          <w:lang w:val="en-US"/>
        </w:rPr>
        <w:t>is GEN</w:t>
      </w:r>
      <w:r w:rsidRPr="0069088C">
        <w:rPr>
          <w:rFonts w:ascii="Times New Roman" w:hAnsi="Times New Roman" w:cs="Times New Roman"/>
          <w:lang w:val="en-US"/>
        </w:rPr>
        <w:t xml:space="preserve"> &gt; ERY &gt; AMO.</w:t>
      </w:r>
    </w:p>
    <w:p w14:paraId="6A076F4D" w14:textId="3D3BEDF2" w:rsidR="00890B87" w:rsidRPr="0069088C" w:rsidRDefault="007E6EFB" w:rsidP="00B73378">
      <w:pPr>
        <w:rPr>
          <w:rFonts w:ascii="Times New Roman" w:hAnsi="Times New Roman" w:cs="Times New Roman"/>
          <w:lang w:val="en-US"/>
        </w:rPr>
      </w:pPr>
      <w:r w:rsidRPr="0069088C">
        <w:rPr>
          <w:rFonts w:ascii="Times New Roman" w:hAnsi="Times New Roman" w:cs="Times New Roman"/>
          <w:lang w:val="en-US"/>
        </w:rPr>
        <w:t xml:space="preserve">PDI </w:t>
      </w:r>
      <w:r w:rsidR="00AE39D2" w:rsidRPr="0069088C">
        <w:rPr>
          <w:rFonts w:ascii="Times New Roman" w:hAnsi="Times New Roman" w:cs="Times New Roman"/>
          <w:lang w:val="en-US"/>
        </w:rPr>
        <w:t xml:space="preserve">has not </w:t>
      </w:r>
      <w:r w:rsidR="006B4E26" w:rsidRPr="0069088C">
        <w:rPr>
          <w:rFonts w:ascii="Times New Roman" w:hAnsi="Times New Roman" w:cs="Times New Roman"/>
          <w:lang w:val="en-US"/>
        </w:rPr>
        <w:t>promote</w:t>
      </w:r>
      <w:r w:rsidR="00AE39D2" w:rsidRPr="0069088C">
        <w:rPr>
          <w:rFonts w:ascii="Times New Roman" w:hAnsi="Times New Roman" w:cs="Times New Roman"/>
          <w:lang w:val="en-US"/>
        </w:rPr>
        <w:t>d</w:t>
      </w:r>
      <w:r w:rsidR="006B4E26" w:rsidRPr="0069088C">
        <w:rPr>
          <w:rFonts w:ascii="Times New Roman" w:hAnsi="Times New Roman" w:cs="Times New Roman"/>
          <w:lang w:val="en-US"/>
        </w:rPr>
        <w:t xml:space="preserve"> the selection of resistant bacteria even if </w:t>
      </w:r>
      <w:r w:rsidR="00DA6877" w:rsidRPr="0069088C">
        <w:rPr>
          <w:rFonts w:ascii="Times New Roman" w:hAnsi="Times New Roman" w:cs="Times New Roman"/>
          <w:lang w:val="en-US"/>
        </w:rPr>
        <w:t>sub inhibitory</w:t>
      </w:r>
      <w:r w:rsidR="006B4E26" w:rsidRPr="0069088C">
        <w:rPr>
          <w:rFonts w:ascii="Times New Roman" w:hAnsi="Times New Roman" w:cs="Times New Roman"/>
          <w:lang w:val="en-US"/>
        </w:rPr>
        <w:t xml:space="preserve"> conditions of treatments are applied differently from antibiotic therapy </w:t>
      </w:r>
      <w:r w:rsidR="00DA6877" w:rsidRPr="0069088C">
        <w:rPr>
          <w:rFonts w:ascii="Times New Roman" w:hAnsi="Times New Roman" w:cs="Times New Roman"/>
          <w:lang w:val="en-US"/>
        </w:rPr>
        <w:fldChar w:fldCharType="begin" w:fldLock="1"/>
      </w:r>
      <w:r w:rsidR="00DA6877" w:rsidRPr="0069088C">
        <w:rPr>
          <w:rFonts w:ascii="Times New Roman" w:hAnsi="Times New Roman" w:cs="Times New Roman"/>
          <w:lang w:val="en-US"/>
        </w:rPr>
        <w:instrText>ADDIN CSL_CITATION {"citationItems":[{"id":"ITEM-1","itemData":{"DOI":"10.1016/j.jphotobiol.2020.111985","ISSN":"18732682","abstract":"It is estimated over 600 million pharyngotonsillitis (PT) cases worldwide per year and 30% of this total are caused by Streptococcus pyogenes with standard antibiotic treatment. Antimicrobial Photodynamic Therapy (aPDT) has been studied for the clinical research in infectious diseases. The study aim was to analyze the evolution of aPDT on inactivation of clinical strains of multiple cycles. S. pyogenes and clinical strains isolated from patients with PT were incubated with curcumin in formulation (2.25 mg/ml) and irradiated at 450 nm in Light fluence rates. A mortality was a measure of the counting colony forming units per milliliter (CFU/ml) surviving. Parameters of bacterial biofilm formation, uptake of photosensitizer (PS) and efficacy of antibiotics on survival of bacteria of each cycle were tested. The bacteria profile remains unchanged between 10 aPDT cycles was observed. The bacterial colony survival presented a reduction in capacity to form biofilm due adhesion of strains and PS uptake rate. The antibiotic remained efficient after aPDT cycles. Our in vitro results suggested a low-level of development of PDT resistance, however a decrease of photosensitizer uptake was observed. Furthermore, there is no cross effect on aPDT cycles and the first application of antibiotics.","author":[{"dropping-particle":"","family":"Soares","given":"Jennifer Machado","non-dropping-particle":"","parse-names":false,"suffix":""},{"dropping-particle":"","family":"Inada","given":"Natalia Mayumi","non-dropping-particle":"","parse-names":false,"suffix":""},{"dropping-particle":"","family":"Bagnato","given":"Vanderlei Salvador","non-dropping-particle":"","parse-names":false,"suffix":""},{"dropping-particle":"","family":"Blanco","given":"Kate Cristina","non-dropping-particle":"","parse-names":false,"suffix":""}],"container-title":"Journal of Photochemistry and Photobiology B: Biology","id":"ITEM-1","issue":"May","issued":{"date-parts":[["2020"]]},"page":"111985","publisher":"Elsevier","title":"Evolution of surviving Streptoccocus pyogenes from pharyngotonsillitis patients submit to multiple cycles of antimicrobial photodynamic therapy","type":"article-journal","volume":"210"},"uris":["http://www.mendeley.com/documents/?uuid=0cafb608-1c9e-4885-9c81-992be9efd1c0"]},{"id":"ITEM-2","itemData":{"DOI":"10.1016/j.drup.2017.07.003","ISSN":"15322084","PMID":"28867242","abstract":"Infections have been a major cause of disease throughout the history of humans on earth. With the introduction of antibiotics, it was thought that infections had been conquered. However, bacteria have been able to develop resistance to antibiotics at an exponentially increasing rate. The growing threat from multi-drug resistant organisms calls for intensive action to prevent the emergence of totally resistant and untreatable infections. Novel, non-invasive, non-antibiotic strategies are needed that act more efficiently and faster than current antibiotics. One promising alternative is antimicrobial photodynamic inactivation (APDI), an approach that produces reactive oxygen species when dyes and light are combined. So far, it has been questionable if bacteria can develop resistance against APDI. This review paper gives an overview of recent studies concerning the susceptibility of bacteria towards oxidative stress, and suggests possible mechanisms of the development of APDI-resistance that should at least be addressed. Some ways to potentiate APDI and also to overcome future resistance are suggested.","author":[{"dropping-particle":"","family":"Kashef","given":"Nasim","non-dropping-particle":"","parse-names":false,"suffix":""},{"dropping-particle":"","family":"Hamblin","given":"Michael R.","non-dropping-particle":"","parse-names":false,"suffix":""}],"container-title":"Drug Resistance Updates","id":"ITEM-2","issue":"July","issued":{"date-parts":[["2017"]]},"page":"31-42","publisher":"Elsevier","title":"Can microbial cells develop resistance to oxidative stress in antimicrobial photodynamic inactivation?","type":"article-journal","volume":"31"},"uris":["http://www.mendeley.com/documents/?uuid=4baad07d-6aea-4cd6-b7eb-2559ff028187"]}],"mendeley":{"formattedCitation":"&lt;sup&gt;32,33&lt;/sup&gt;","plainTextFormattedCitation":"32,33","previouslyFormattedCitation":"&lt;sup&gt;31,32&lt;/sup&gt;"},"properties":{"noteIndex":0},"schema":"https://github.com/citation-style-language/schema/raw/master/csl-citation.json"}</w:instrText>
      </w:r>
      <w:r w:rsidR="00DA6877" w:rsidRPr="0069088C">
        <w:rPr>
          <w:rFonts w:ascii="Times New Roman" w:hAnsi="Times New Roman" w:cs="Times New Roman"/>
          <w:lang w:val="en-US"/>
        </w:rPr>
        <w:fldChar w:fldCharType="separate"/>
      </w:r>
      <w:r w:rsidR="00DA6877" w:rsidRPr="0069088C">
        <w:rPr>
          <w:rFonts w:ascii="Times New Roman" w:hAnsi="Times New Roman" w:cs="Times New Roman"/>
          <w:noProof/>
          <w:vertAlign w:val="superscript"/>
          <w:lang w:val="en-US"/>
        </w:rPr>
        <w:t>32,33</w:t>
      </w:r>
      <w:r w:rsidR="00DA6877" w:rsidRPr="0069088C">
        <w:rPr>
          <w:rFonts w:ascii="Times New Roman" w:hAnsi="Times New Roman" w:cs="Times New Roman"/>
          <w:lang w:val="en-US"/>
        </w:rPr>
        <w:fldChar w:fldCharType="end"/>
      </w:r>
      <w:r w:rsidR="006B4E26" w:rsidRPr="0069088C">
        <w:rPr>
          <w:rFonts w:ascii="Times New Roman" w:hAnsi="Times New Roman" w:cs="Times New Roman"/>
          <w:lang w:val="en-US"/>
        </w:rPr>
        <w:t>.</w:t>
      </w:r>
      <w:r w:rsidR="008D153D" w:rsidRPr="0069088C">
        <w:rPr>
          <w:rFonts w:ascii="Times New Roman" w:hAnsi="Times New Roman" w:cs="Times New Roman"/>
          <w:lang w:val="en-US"/>
        </w:rPr>
        <w:t xml:space="preserve"> PDI still has limitations result</w:t>
      </w:r>
      <w:r w:rsidR="006D577C" w:rsidRPr="0069088C">
        <w:rPr>
          <w:rFonts w:ascii="Times New Roman" w:hAnsi="Times New Roman" w:cs="Times New Roman"/>
          <w:lang w:val="en-US"/>
        </w:rPr>
        <w:t>ing</w:t>
      </w:r>
      <w:r w:rsidR="008D153D" w:rsidRPr="0069088C">
        <w:rPr>
          <w:rFonts w:ascii="Times New Roman" w:hAnsi="Times New Roman" w:cs="Times New Roman"/>
          <w:lang w:val="en-US"/>
        </w:rPr>
        <w:t xml:space="preserve"> in low efficacy </w:t>
      </w:r>
      <w:r w:rsidR="006D577C" w:rsidRPr="0069088C">
        <w:rPr>
          <w:rFonts w:ascii="Times New Roman" w:hAnsi="Times New Roman" w:cs="Times New Roman"/>
          <w:lang w:val="en-US"/>
        </w:rPr>
        <w:t xml:space="preserve">for </w:t>
      </w:r>
      <w:r w:rsidR="008D153D" w:rsidRPr="0069088C">
        <w:rPr>
          <w:rFonts w:ascii="Times New Roman" w:hAnsi="Times New Roman" w:cs="Times New Roman"/>
          <w:lang w:val="en-US"/>
        </w:rPr>
        <w:t>infection</w:t>
      </w:r>
      <w:r w:rsidR="006D577C" w:rsidRPr="0069088C">
        <w:rPr>
          <w:rFonts w:ascii="Times New Roman" w:hAnsi="Times New Roman" w:cs="Times New Roman"/>
          <w:lang w:val="en-US"/>
        </w:rPr>
        <w:t xml:space="preserve"> treatment</w:t>
      </w:r>
      <w:r w:rsidR="008D153D" w:rsidRPr="0069088C">
        <w:rPr>
          <w:rFonts w:ascii="Times New Roman" w:hAnsi="Times New Roman" w:cs="Times New Roman"/>
          <w:lang w:val="en-US"/>
        </w:rPr>
        <w:t xml:space="preserve">, mainly due to the </w:t>
      </w:r>
      <w:r w:rsidR="006D577C" w:rsidRPr="0069088C">
        <w:rPr>
          <w:rFonts w:ascii="Times New Roman" w:hAnsi="Times New Roman" w:cs="Times New Roman"/>
          <w:lang w:val="en-US"/>
        </w:rPr>
        <w:t>P</w:t>
      </w:r>
      <w:r w:rsidR="00665D8D" w:rsidRPr="0069088C">
        <w:rPr>
          <w:rFonts w:ascii="Times New Roman" w:hAnsi="Times New Roman" w:cs="Times New Roman"/>
          <w:lang w:val="en-US"/>
        </w:rPr>
        <w:t>S</w:t>
      </w:r>
      <w:r w:rsidR="006D577C" w:rsidRPr="0069088C">
        <w:rPr>
          <w:rFonts w:ascii="Times New Roman" w:hAnsi="Times New Roman" w:cs="Times New Roman"/>
          <w:lang w:val="en-US"/>
        </w:rPr>
        <w:t xml:space="preserve"> </w:t>
      </w:r>
      <w:r w:rsidR="008D153D" w:rsidRPr="0069088C">
        <w:rPr>
          <w:rFonts w:ascii="Times New Roman" w:hAnsi="Times New Roman" w:cs="Times New Roman"/>
          <w:lang w:val="en-US"/>
        </w:rPr>
        <w:t>incorporation and light penetration into infect</w:t>
      </w:r>
      <w:r w:rsidR="006D577C" w:rsidRPr="0069088C">
        <w:rPr>
          <w:rFonts w:ascii="Times New Roman" w:hAnsi="Times New Roman" w:cs="Times New Roman"/>
          <w:lang w:val="en-US"/>
        </w:rPr>
        <w:t>ious</w:t>
      </w:r>
      <w:r w:rsidR="008D153D" w:rsidRPr="0069088C">
        <w:rPr>
          <w:rFonts w:ascii="Times New Roman" w:hAnsi="Times New Roman" w:cs="Times New Roman"/>
          <w:lang w:val="en-US"/>
        </w:rPr>
        <w:t xml:space="preserve"> biological tissues. That is, any technique has advantages and disadvantages, so when combining therapies, in addition to aiming at potentiated antimicrobial results, one should seek to minimize the disadvantages, how is the case of PDI and antibiotic therapy. Furthermore, not only the inhibitory effects should be analyzed when implementing the combination of treatments, but also observing the effects on the structures of surviving cells, in addition to their metabolic activity.</w:t>
      </w:r>
    </w:p>
    <w:p w14:paraId="006CB9BD" w14:textId="43F3C0A0" w:rsidR="00B73378" w:rsidRPr="0069088C" w:rsidRDefault="00B73378" w:rsidP="00B73378">
      <w:pPr>
        <w:rPr>
          <w:rFonts w:ascii="Times New Roman" w:hAnsi="Times New Roman" w:cs="Times New Roman"/>
          <w:lang w:val="en-US"/>
        </w:rPr>
      </w:pPr>
      <w:r w:rsidRPr="0069088C">
        <w:rPr>
          <w:rFonts w:ascii="Times New Roman" w:hAnsi="Times New Roman" w:cs="Times New Roman"/>
          <w:lang w:val="en-US"/>
        </w:rPr>
        <w:t xml:space="preserve">Based on the results shown here, </w:t>
      </w:r>
      <w:r w:rsidR="007F6B5A" w:rsidRPr="0069088C">
        <w:rPr>
          <w:rFonts w:ascii="Times New Roman" w:hAnsi="Times New Roman" w:cs="Times New Roman"/>
          <w:lang w:val="en-US"/>
        </w:rPr>
        <w:t>I was possible to verify that combined treatments resulted in efficiency responses superior than the monotherapies. I</w:t>
      </w:r>
      <w:r w:rsidRPr="0069088C">
        <w:rPr>
          <w:rFonts w:ascii="Times New Roman" w:hAnsi="Times New Roman" w:cs="Times New Roman"/>
          <w:lang w:val="en-US"/>
        </w:rPr>
        <w:t xml:space="preserve">t is evident that the combined use of PDI with different </w:t>
      </w:r>
      <w:r w:rsidR="004F58CF" w:rsidRPr="0069088C">
        <w:rPr>
          <w:rFonts w:ascii="Times New Roman" w:hAnsi="Times New Roman" w:cs="Times New Roman"/>
          <w:lang w:val="en-US"/>
        </w:rPr>
        <w:t>classes of antibiotics</w:t>
      </w:r>
      <w:r w:rsidRPr="0069088C">
        <w:rPr>
          <w:rFonts w:ascii="Times New Roman" w:hAnsi="Times New Roman" w:cs="Times New Roman"/>
          <w:lang w:val="en-US"/>
        </w:rPr>
        <w:t xml:space="preserve"> can </w:t>
      </w:r>
      <w:r w:rsidR="004F58CF" w:rsidRPr="0069088C">
        <w:rPr>
          <w:rFonts w:ascii="Times New Roman" w:hAnsi="Times New Roman" w:cs="Times New Roman"/>
          <w:lang w:val="en-US"/>
        </w:rPr>
        <w:t xml:space="preserve">results in </w:t>
      </w:r>
      <w:r w:rsidRPr="0069088C">
        <w:rPr>
          <w:rFonts w:ascii="Times New Roman" w:hAnsi="Times New Roman" w:cs="Times New Roman"/>
          <w:lang w:val="en-US"/>
        </w:rPr>
        <w:t xml:space="preserve">different </w:t>
      </w:r>
      <w:r w:rsidR="007F6B5A" w:rsidRPr="0069088C">
        <w:rPr>
          <w:rFonts w:ascii="Times New Roman" w:hAnsi="Times New Roman" w:cs="Times New Roman"/>
          <w:lang w:val="en-US"/>
        </w:rPr>
        <w:t>antimicrobial performance due to</w:t>
      </w:r>
      <w:r w:rsidRPr="0069088C">
        <w:rPr>
          <w:rFonts w:ascii="Times New Roman" w:hAnsi="Times New Roman" w:cs="Times New Roman"/>
          <w:lang w:val="en-US"/>
        </w:rPr>
        <w:t xml:space="preserve"> </w:t>
      </w:r>
      <w:r w:rsidR="00491143" w:rsidRPr="0069088C">
        <w:rPr>
          <w:rFonts w:ascii="Times New Roman" w:hAnsi="Times New Roman" w:cs="Times New Roman"/>
          <w:lang w:val="en-US"/>
        </w:rPr>
        <w:t xml:space="preserve">bacterial </w:t>
      </w:r>
      <w:r w:rsidRPr="0069088C">
        <w:rPr>
          <w:rFonts w:ascii="Times New Roman" w:hAnsi="Times New Roman" w:cs="Times New Roman"/>
          <w:lang w:val="en-US"/>
        </w:rPr>
        <w:t>incorporation rate and vibrational states of biomolecules</w:t>
      </w:r>
      <w:r w:rsidR="007F6B5A" w:rsidRPr="0069088C">
        <w:rPr>
          <w:rFonts w:ascii="Times New Roman" w:hAnsi="Times New Roman" w:cs="Times New Roman"/>
          <w:lang w:val="en-US"/>
        </w:rPr>
        <w:t>.</w:t>
      </w:r>
    </w:p>
    <w:p w14:paraId="0584748F" w14:textId="77777777" w:rsidR="00B73378" w:rsidRPr="0069088C" w:rsidRDefault="00B73378" w:rsidP="00AA2C24">
      <w:pPr>
        <w:rPr>
          <w:rFonts w:ascii="Times New Roman" w:hAnsi="Times New Roman" w:cs="Times New Roman"/>
          <w:b/>
          <w:bCs/>
          <w:lang w:val="en-US"/>
        </w:rPr>
      </w:pPr>
    </w:p>
    <w:p w14:paraId="7B32762F" w14:textId="67D59DD5" w:rsidR="00B73378" w:rsidRPr="0069088C" w:rsidRDefault="00B73378" w:rsidP="00B73378">
      <w:pPr>
        <w:rPr>
          <w:rFonts w:ascii="Times New Roman" w:hAnsi="Times New Roman" w:cs="Times New Roman"/>
          <w:lang w:val="en-US"/>
        </w:rPr>
      </w:pPr>
      <w:r w:rsidRPr="0069088C">
        <w:rPr>
          <w:rFonts w:ascii="Times New Roman" w:hAnsi="Times New Roman" w:cs="Times New Roman"/>
          <w:b/>
          <w:bCs/>
          <w:lang w:val="en-US"/>
        </w:rPr>
        <w:t>5- CONCLUSION</w:t>
      </w:r>
      <w:r w:rsidRPr="0069088C">
        <w:rPr>
          <w:rFonts w:ascii="Times New Roman" w:hAnsi="Times New Roman" w:cs="Times New Roman"/>
          <w:lang w:val="en-US"/>
        </w:rPr>
        <w:t xml:space="preserve"> </w:t>
      </w:r>
    </w:p>
    <w:p w14:paraId="3FCB7D55" w14:textId="77777777" w:rsidR="00CB59A7" w:rsidRPr="0069088C" w:rsidRDefault="00080495" w:rsidP="00B73378">
      <w:pPr>
        <w:rPr>
          <w:rFonts w:ascii="Times New Roman" w:hAnsi="Times New Roman" w:cs="Times New Roman"/>
          <w:lang w:val="en-US"/>
        </w:rPr>
      </w:pPr>
      <w:r w:rsidRPr="0069088C">
        <w:rPr>
          <w:rFonts w:ascii="Times New Roman" w:hAnsi="Times New Roman" w:cs="Times New Roman"/>
          <w:lang w:val="en-US"/>
        </w:rPr>
        <w:t>The present work demonstrates that PDI is capable of potentiating the action of ANTB when both are combined.</w:t>
      </w:r>
      <w:r w:rsidR="00CB59A7" w:rsidRPr="0069088C">
        <w:rPr>
          <w:rFonts w:ascii="Times New Roman" w:hAnsi="Times New Roman" w:cs="Times New Roman"/>
          <w:lang w:val="en-US"/>
        </w:rPr>
        <w:t xml:space="preserve"> </w:t>
      </w:r>
      <w:r w:rsidR="00B7655F" w:rsidRPr="0069088C">
        <w:rPr>
          <w:rFonts w:ascii="Times New Roman" w:hAnsi="Times New Roman" w:cs="Times New Roman"/>
          <w:lang w:val="en-US"/>
        </w:rPr>
        <w:t>The action of antibiotics occurs from the moment the molecules are internalized inside the cell, since the targets</w:t>
      </w:r>
      <w:r w:rsidR="000937A8" w:rsidRPr="0069088C">
        <w:rPr>
          <w:rFonts w:ascii="Times New Roman" w:hAnsi="Times New Roman" w:cs="Times New Roman"/>
          <w:lang w:val="en-US"/>
        </w:rPr>
        <w:t>-</w:t>
      </w:r>
      <w:r w:rsidR="00B7655F" w:rsidRPr="0069088C">
        <w:rPr>
          <w:rFonts w:ascii="Times New Roman" w:hAnsi="Times New Roman" w:cs="Times New Roman"/>
          <w:lang w:val="en-US"/>
        </w:rPr>
        <w:t xml:space="preserve">action these drugs </w:t>
      </w:r>
      <w:r w:rsidR="000937A8" w:rsidRPr="0069088C">
        <w:rPr>
          <w:rFonts w:ascii="Times New Roman" w:hAnsi="Times New Roman" w:cs="Times New Roman"/>
          <w:lang w:val="en-US"/>
        </w:rPr>
        <w:t>are in</w:t>
      </w:r>
      <w:r w:rsidR="00B7655F" w:rsidRPr="0069088C">
        <w:rPr>
          <w:rFonts w:ascii="Times New Roman" w:hAnsi="Times New Roman" w:cs="Times New Roman"/>
          <w:lang w:val="en-US"/>
        </w:rPr>
        <w:t xml:space="preserve"> </w:t>
      </w:r>
      <w:r w:rsidR="000937A8" w:rsidRPr="0069088C">
        <w:rPr>
          <w:rFonts w:ascii="Times New Roman" w:hAnsi="Times New Roman" w:cs="Times New Roman"/>
          <w:lang w:val="en-US"/>
        </w:rPr>
        <w:t>intracellular structures</w:t>
      </w:r>
      <w:r w:rsidR="00B7655F" w:rsidRPr="0069088C">
        <w:rPr>
          <w:rFonts w:ascii="Times New Roman" w:hAnsi="Times New Roman" w:cs="Times New Roman"/>
          <w:lang w:val="en-US"/>
        </w:rPr>
        <w:t xml:space="preserve">. </w:t>
      </w:r>
      <w:r w:rsidR="000937A8" w:rsidRPr="0069088C">
        <w:rPr>
          <w:rFonts w:ascii="Times New Roman" w:hAnsi="Times New Roman" w:cs="Times New Roman"/>
          <w:lang w:val="en-US"/>
        </w:rPr>
        <w:t>T</w:t>
      </w:r>
      <w:r w:rsidR="00B7655F" w:rsidRPr="0069088C">
        <w:rPr>
          <w:rFonts w:ascii="Times New Roman" w:hAnsi="Times New Roman" w:cs="Times New Roman"/>
          <w:lang w:val="en-US"/>
        </w:rPr>
        <w:t xml:space="preserve">he </w:t>
      </w:r>
      <w:r w:rsidR="000937A8" w:rsidRPr="0069088C">
        <w:rPr>
          <w:rFonts w:ascii="Times New Roman" w:hAnsi="Times New Roman" w:cs="Times New Roman"/>
          <w:lang w:val="en-US"/>
        </w:rPr>
        <w:t xml:space="preserve">MIC </w:t>
      </w:r>
      <w:r w:rsidR="00B7655F" w:rsidRPr="0069088C">
        <w:rPr>
          <w:rFonts w:ascii="Times New Roman" w:hAnsi="Times New Roman" w:cs="Times New Roman"/>
          <w:lang w:val="en-US"/>
        </w:rPr>
        <w:t>reduc</w:t>
      </w:r>
      <w:r w:rsidR="000937A8" w:rsidRPr="0069088C">
        <w:rPr>
          <w:rFonts w:ascii="Times New Roman" w:hAnsi="Times New Roman" w:cs="Times New Roman"/>
          <w:lang w:val="en-US"/>
        </w:rPr>
        <w:t>tion</w:t>
      </w:r>
      <w:r w:rsidR="00B7655F" w:rsidRPr="0069088C">
        <w:rPr>
          <w:rFonts w:ascii="Times New Roman" w:hAnsi="Times New Roman" w:cs="Times New Roman"/>
          <w:lang w:val="en-US"/>
        </w:rPr>
        <w:t xml:space="preserve"> </w:t>
      </w:r>
      <w:r w:rsidR="007458B9" w:rsidRPr="0069088C">
        <w:rPr>
          <w:rFonts w:ascii="Times New Roman" w:hAnsi="Times New Roman" w:cs="Times New Roman"/>
          <w:lang w:val="en-US"/>
        </w:rPr>
        <w:t>with</w:t>
      </w:r>
      <w:r w:rsidR="00B7655F" w:rsidRPr="0069088C">
        <w:rPr>
          <w:rFonts w:ascii="Times New Roman" w:hAnsi="Times New Roman" w:cs="Times New Roman"/>
          <w:lang w:val="en-US"/>
        </w:rPr>
        <w:t xml:space="preserve"> previous PDI </w:t>
      </w:r>
      <w:r w:rsidR="007458B9" w:rsidRPr="0069088C">
        <w:rPr>
          <w:rFonts w:ascii="Times New Roman" w:hAnsi="Times New Roman" w:cs="Times New Roman"/>
          <w:lang w:val="en-US"/>
        </w:rPr>
        <w:t xml:space="preserve">application </w:t>
      </w:r>
      <w:r w:rsidR="00B7655F" w:rsidRPr="0069088C">
        <w:rPr>
          <w:rFonts w:ascii="Times New Roman" w:hAnsi="Times New Roman" w:cs="Times New Roman"/>
          <w:lang w:val="en-US"/>
        </w:rPr>
        <w:t>demonstrated that cell damage, mainly in the membrane, affects cell permeability, favoring the antimicrobials</w:t>
      </w:r>
      <w:r w:rsidR="007458B9" w:rsidRPr="0069088C">
        <w:rPr>
          <w:rFonts w:ascii="Times New Roman" w:hAnsi="Times New Roman" w:cs="Times New Roman"/>
          <w:lang w:val="en-US"/>
        </w:rPr>
        <w:t xml:space="preserve"> uptake</w:t>
      </w:r>
      <w:r w:rsidR="00B7655F" w:rsidRPr="0069088C">
        <w:rPr>
          <w:rFonts w:ascii="Times New Roman" w:hAnsi="Times New Roman" w:cs="Times New Roman"/>
          <w:lang w:val="en-US"/>
        </w:rPr>
        <w:t xml:space="preserve">, in order to increase the antibiotic </w:t>
      </w:r>
      <w:r w:rsidR="007458B9" w:rsidRPr="0069088C">
        <w:rPr>
          <w:rFonts w:ascii="Times New Roman" w:hAnsi="Times New Roman" w:cs="Times New Roman"/>
          <w:lang w:val="en-US"/>
        </w:rPr>
        <w:t xml:space="preserve">susceptibility </w:t>
      </w:r>
      <w:r w:rsidR="00B7655F" w:rsidRPr="0069088C">
        <w:rPr>
          <w:rFonts w:ascii="Times New Roman" w:hAnsi="Times New Roman" w:cs="Times New Roman"/>
          <w:lang w:val="en-US"/>
        </w:rPr>
        <w:t>by the bacteria, promising result</w:t>
      </w:r>
      <w:r w:rsidR="007458B9" w:rsidRPr="0069088C">
        <w:rPr>
          <w:rFonts w:ascii="Times New Roman" w:hAnsi="Times New Roman" w:cs="Times New Roman"/>
          <w:lang w:val="en-US"/>
        </w:rPr>
        <w:t>s</w:t>
      </w:r>
      <w:r w:rsidR="00B7655F" w:rsidRPr="0069088C">
        <w:rPr>
          <w:rFonts w:ascii="Times New Roman" w:hAnsi="Times New Roman" w:cs="Times New Roman"/>
          <w:lang w:val="en-US"/>
        </w:rPr>
        <w:t xml:space="preserve"> in the perspective to reverse the scenario of resistant and persistent microorganisms. </w:t>
      </w:r>
    </w:p>
    <w:p w14:paraId="17A2EE58" w14:textId="4017CFC9" w:rsidR="006B7A49" w:rsidRPr="0069088C" w:rsidRDefault="00B7655F" w:rsidP="00B73378">
      <w:pPr>
        <w:rPr>
          <w:rFonts w:ascii="Times New Roman" w:hAnsi="Times New Roman" w:cs="Times New Roman"/>
          <w:lang w:val="en-US"/>
        </w:rPr>
      </w:pPr>
      <w:r w:rsidRPr="0069088C">
        <w:rPr>
          <w:rFonts w:ascii="Times New Roman" w:hAnsi="Times New Roman" w:cs="Times New Roman"/>
          <w:lang w:val="en-US"/>
        </w:rPr>
        <w:lastRenderedPageBreak/>
        <w:t>It is noteworthy that different combination protocols of both therapies influence synergistic or antagonistic effects</w:t>
      </w:r>
      <w:r w:rsidR="00144073" w:rsidRPr="0069088C">
        <w:rPr>
          <w:rFonts w:ascii="Times New Roman" w:hAnsi="Times New Roman" w:cs="Times New Roman"/>
          <w:lang w:val="en-US"/>
        </w:rPr>
        <w:t>. The</w:t>
      </w:r>
      <w:r w:rsidRPr="0069088C">
        <w:rPr>
          <w:rFonts w:ascii="Times New Roman" w:hAnsi="Times New Roman" w:cs="Times New Roman"/>
          <w:lang w:val="en-US"/>
        </w:rPr>
        <w:t xml:space="preserve"> ROS produced by PDI can weaken the cell facilitating the action of antibiotics or degrade the antimicrobials decreasing their efficiency, as well as the antibiotic and photosensitizer interaction. may compromise photodynamic efficiency.</w:t>
      </w:r>
      <w:r w:rsidR="00CB59A7" w:rsidRPr="0069088C">
        <w:rPr>
          <w:rFonts w:ascii="Times New Roman" w:hAnsi="Times New Roman" w:cs="Times New Roman"/>
          <w:lang w:val="en-US"/>
        </w:rPr>
        <w:t xml:space="preserve"> Therefore, the previous application of PDI stands out as the best temporal sequence of combination of its studied therapies.</w:t>
      </w:r>
      <w:r w:rsidRPr="0069088C">
        <w:rPr>
          <w:rFonts w:ascii="Times New Roman" w:hAnsi="Times New Roman" w:cs="Times New Roman"/>
          <w:lang w:val="en-US"/>
        </w:rPr>
        <w:t xml:space="preserve"> </w:t>
      </w:r>
      <w:r w:rsidR="00B73378" w:rsidRPr="0069088C">
        <w:rPr>
          <w:rFonts w:ascii="Times New Roman" w:hAnsi="Times New Roman" w:cs="Times New Roman"/>
          <w:lang w:val="en-US"/>
        </w:rPr>
        <w:t xml:space="preserve">Although the interaction between therapies may not present trivial results, the adjustment of the parameters allows </w:t>
      </w:r>
      <w:r w:rsidRPr="0069088C">
        <w:rPr>
          <w:rFonts w:ascii="Times New Roman" w:hAnsi="Times New Roman" w:cs="Times New Roman"/>
          <w:lang w:val="en-US"/>
        </w:rPr>
        <w:t>enhance</w:t>
      </w:r>
      <w:r w:rsidR="00B73378" w:rsidRPr="0069088C">
        <w:rPr>
          <w:rFonts w:ascii="Times New Roman" w:hAnsi="Times New Roman" w:cs="Times New Roman"/>
          <w:lang w:val="en-US"/>
        </w:rPr>
        <w:t xml:space="preserve"> the antimicrobial action that can be applied in both sensitive and resistant strains, </w:t>
      </w:r>
      <w:r w:rsidR="00D925EA" w:rsidRPr="0069088C">
        <w:rPr>
          <w:rFonts w:ascii="Times New Roman" w:hAnsi="Times New Roman" w:cs="Times New Roman"/>
          <w:lang w:val="en-US"/>
        </w:rPr>
        <w:t xml:space="preserve">what would it be </w:t>
      </w:r>
      <w:r w:rsidR="00B73378" w:rsidRPr="0069088C">
        <w:rPr>
          <w:rFonts w:ascii="Times New Roman" w:hAnsi="Times New Roman" w:cs="Times New Roman"/>
          <w:lang w:val="en-US"/>
        </w:rPr>
        <w:t>a solution to the challenge of antibiotic failure.</w:t>
      </w:r>
      <w:r w:rsidR="00833AB5" w:rsidRPr="0069088C">
        <w:rPr>
          <w:rFonts w:ascii="Times New Roman" w:hAnsi="Times New Roman" w:cs="Times New Roman"/>
          <w:lang w:val="en-US"/>
        </w:rPr>
        <w:t xml:space="preserve"> </w:t>
      </w:r>
    </w:p>
    <w:p w14:paraId="0FD48349" w14:textId="66BD41D0" w:rsidR="00B73378" w:rsidRPr="0069088C" w:rsidRDefault="00B73378" w:rsidP="00B73378">
      <w:pPr>
        <w:rPr>
          <w:rFonts w:ascii="Times New Roman" w:hAnsi="Times New Roman" w:cs="Times New Roman"/>
          <w:lang w:val="en-US"/>
        </w:rPr>
      </w:pPr>
    </w:p>
    <w:p w14:paraId="0592AE8B" w14:textId="27159DD4" w:rsidR="00B73378" w:rsidRPr="0069088C" w:rsidRDefault="00B43F54" w:rsidP="00675358">
      <w:pPr>
        <w:rPr>
          <w:rFonts w:ascii="Times New Roman" w:hAnsi="Times New Roman" w:cs="Times New Roman"/>
          <w:lang w:val="en-US"/>
        </w:rPr>
      </w:pPr>
      <w:r w:rsidRPr="0069088C">
        <w:rPr>
          <w:rFonts w:ascii="Times New Roman" w:hAnsi="Times New Roman" w:cs="Times New Roman"/>
          <w:b/>
          <w:lang w:val="en-US"/>
        </w:rPr>
        <w:t>ACKNOWLEDGMENT</w:t>
      </w:r>
      <w:r w:rsidRPr="0069088C">
        <w:rPr>
          <w:rFonts w:ascii="Times New Roman" w:hAnsi="Times New Roman" w:cs="Times New Roman"/>
          <w:lang w:val="en-US"/>
        </w:rPr>
        <w:t>:</w:t>
      </w:r>
      <w:r w:rsidR="00B73378" w:rsidRPr="0069088C">
        <w:rPr>
          <w:rFonts w:ascii="Times New Roman" w:hAnsi="Times New Roman" w:cs="Times New Roman"/>
          <w:lang w:val="en-US"/>
        </w:rPr>
        <w:t xml:space="preserve"> </w:t>
      </w:r>
      <w:r w:rsidR="00AB63CF" w:rsidRPr="0069088C">
        <w:rPr>
          <w:rFonts w:ascii="Times New Roman" w:hAnsi="Times New Roman" w:cs="Times New Roman"/>
          <w:lang w:val="en-US"/>
        </w:rPr>
        <w:t xml:space="preserve">This work was supported by </w:t>
      </w:r>
      <w:r w:rsidR="00675358" w:rsidRPr="0069088C">
        <w:rPr>
          <w:rFonts w:ascii="Times New Roman" w:hAnsi="Times New Roman" w:cs="Times New Roman"/>
          <w:lang w:val="en-US"/>
        </w:rPr>
        <w:t>Coordenação de Aperfeiçoamento de Pessoal de Nível Superior (CAPES) (finance code 001), Center of Optics and Photonics CEPOF-FAPESP (2013/07276-1) and CNPQ INCT program (465360/2014-9), as well as FAPESP (2019/13569-8) financed this study in part.</w:t>
      </w:r>
    </w:p>
    <w:p w14:paraId="42FE8AD8" w14:textId="0B7AF6E0" w:rsidR="00855DDB" w:rsidRPr="0069088C" w:rsidRDefault="00B43F54" w:rsidP="00855DDB">
      <w:pPr>
        <w:pStyle w:val="Ttulo1"/>
        <w:numPr>
          <w:ilvl w:val="0"/>
          <w:numId w:val="0"/>
        </w:numPr>
        <w:ind w:left="720" w:hanging="720"/>
        <w:rPr>
          <w:rFonts w:ascii="Times New Roman" w:hAnsi="Times New Roman" w:cs="Times New Roman"/>
        </w:rPr>
      </w:pPr>
      <w:r w:rsidRPr="0069088C">
        <w:rPr>
          <w:rFonts w:ascii="Times New Roman" w:hAnsi="Times New Roman" w:cs="Times New Roman"/>
        </w:rPr>
        <w:t>Referências</w:t>
      </w:r>
    </w:p>
    <w:p w14:paraId="6ADDD6E6" w14:textId="2CDA29F5" w:rsidR="00DA6877" w:rsidRPr="0069088C" w:rsidRDefault="00125435"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lang w:val="en-US"/>
        </w:rPr>
        <w:fldChar w:fldCharType="begin" w:fldLock="1"/>
      </w:r>
      <w:r w:rsidRPr="0069088C">
        <w:rPr>
          <w:rFonts w:ascii="Times New Roman" w:hAnsi="Times New Roman" w:cs="Times New Roman"/>
        </w:rPr>
        <w:instrText xml:space="preserve">ADDIN Mendeley Bibliography CSL_BIBLIOGRAPHY </w:instrText>
      </w:r>
      <w:r w:rsidRPr="0069088C">
        <w:rPr>
          <w:rFonts w:ascii="Times New Roman" w:hAnsi="Times New Roman" w:cs="Times New Roman"/>
          <w:lang w:val="en-US"/>
        </w:rPr>
        <w:fldChar w:fldCharType="separate"/>
      </w:r>
      <w:r w:rsidR="00DA6877" w:rsidRPr="0069088C">
        <w:rPr>
          <w:rFonts w:ascii="Times New Roman" w:hAnsi="Times New Roman" w:cs="Times New Roman"/>
          <w:noProof/>
        </w:rPr>
        <w:t>1.</w:t>
      </w:r>
      <w:r w:rsidR="00DA6877" w:rsidRPr="0069088C">
        <w:rPr>
          <w:rFonts w:ascii="Times New Roman" w:hAnsi="Times New Roman" w:cs="Times New Roman"/>
          <w:noProof/>
        </w:rPr>
        <w:tab/>
        <w:t xml:space="preserve">Rowe, S. E. </w:t>
      </w:r>
      <w:r w:rsidR="00DA6877" w:rsidRPr="0069088C">
        <w:rPr>
          <w:rFonts w:ascii="Times New Roman" w:hAnsi="Times New Roman" w:cs="Times New Roman"/>
          <w:i/>
          <w:iCs/>
          <w:noProof/>
        </w:rPr>
        <w:t>et al.</w:t>
      </w:r>
      <w:r w:rsidR="00DA6877" w:rsidRPr="0069088C">
        <w:rPr>
          <w:rFonts w:ascii="Times New Roman" w:hAnsi="Times New Roman" w:cs="Times New Roman"/>
          <w:noProof/>
        </w:rPr>
        <w:t xml:space="preserve"> </w:t>
      </w:r>
      <w:r w:rsidR="00DA6877" w:rsidRPr="0069088C">
        <w:rPr>
          <w:rFonts w:ascii="Times New Roman" w:hAnsi="Times New Roman" w:cs="Times New Roman"/>
          <w:noProof/>
          <w:lang w:val="en-US"/>
        </w:rPr>
        <w:t xml:space="preserve">Reactive oxygen species induce antibiotic tolerance during systemic Staphylococcus aureus infection. </w:t>
      </w:r>
      <w:r w:rsidR="00DA6877" w:rsidRPr="0069088C">
        <w:rPr>
          <w:rFonts w:ascii="Times New Roman" w:hAnsi="Times New Roman" w:cs="Times New Roman"/>
          <w:i/>
          <w:iCs/>
          <w:noProof/>
          <w:lang w:val="en-US"/>
        </w:rPr>
        <w:t>Nat. Microbiol.</w:t>
      </w:r>
      <w:r w:rsidR="00DA6877" w:rsidRPr="0069088C">
        <w:rPr>
          <w:rFonts w:ascii="Times New Roman" w:hAnsi="Times New Roman" w:cs="Times New Roman"/>
          <w:noProof/>
          <w:lang w:val="en-US"/>
        </w:rPr>
        <w:t xml:space="preserve"> </w:t>
      </w:r>
      <w:r w:rsidR="00DA6877" w:rsidRPr="0069088C">
        <w:rPr>
          <w:rFonts w:ascii="Times New Roman" w:hAnsi="Times New Roman" w:cs="Times New Roman"/>
          <w:b/>
          <w:bCs/>
          <w:noProof/>
          <w:lang w:val="en-US"/>
        </w:rPr>
        <w:t>5</w:t>
      </w:r>
      <w:r w:rsidR="00DA6877" w:rsidRPr="0069088C">
        <w:rPr>
          <w:rFonts w:ascii="Times New Roman" w:hAnsi="Times New Roman" w:cs="Times New Roman"/>
          <w:noProof/>
          <w:lang w:val="en-US"/>
        </w:rPr>
        <w:t>, 282–290 (2020).</w:t>
      </w:r>
    </w:p>
    <w:p w14:paraId="5B8A17DC"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w:t>
      </w:r>
      <w:r w:rsidRPr="0069088C">
        <w:rPr>
          <w:rFonts w:ascii="Times New Roman" w:hAnsi="Times New Roman" w:cs="Times New Roman"/>
          <w:noProof/>
          <w:lang w:val="en-US"/>
        </w:rPr>
        <w:tab/>
        <w:t xml:space="preserve">Song, M.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A broad-spectrum antibiotic adjuvant reverses multidrug-resistant Gram-negative pathogens. </w:t>
      </w:r>
      <w:r w:rsidRPr="0069088C">
        <w:rPr>
          <w:rFonts w:ascii="Times New Roman" w:hAnsi="Times New Roman" w:cs="Times New Roman"/>
          <w:i/>
          <w:iCs/>
          <w:noProof/>
          <w:lang w:val="en-US"/>
        </w:rPr>
        <w:t>Nat. Microbiol.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5</w:t>
      </w:r>
      <w:r w:rsidRPr="0069088C">
        <w:rPr>
          <w:rFonts w:ascii="Times New Roman" w:hAnsi="Times New Roman" w:cs="Times New Roman"/>
          <w:noProof/>
          <w:lang w:val="en-US"/>
        </w:rPr>
        <w:t>, 1040–1050 (2020).</w:t>
      </w:r>
    </w:p>
    <w:p w14:paraId="5BC238C0"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3.</w:t>
      </w:r>
      <w:r w:rsidRPr="0069088C">
        <w:rPr>
          <w:rFonts w:ascii="Times New Roman" w:hAnsi="Times New Roman" w:cs="Times New Roman"/>
          <w:noProof/>
          <w:lang w:val="en-US"/>
        </w:rPr>
        <w:tab/>
        <w:t xml:space="preserve">Maisch, T. A New Strategy to Destroy Antibiotic Resistant Microorganisms: Antimicrobial Photodynamic Treatment. </w:t>
      </w:r>
      <w:r w:rsidRPr="0069088C">
        <w:rPr>
          <w:rFonts w:ascii="Times New Roman" w:hAnsi="Times New Roman" w:cs="Times New Roman"/>
          <w:i/>
          <w:iCs/>
          <w:noProof/>
          <w:lang w:val="en-US"/>
        </w:rPr>
        <w:t>Mini-Reviews Med. Chem.</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9</w:t>
      </w:r>
      <w:r w:rsidRPr="0069088C">
        <w:rPr>
          <w:rFonts w:ascii="Times New Roman" w:hAnsi="Times New Roman" w:cs="Times New Roman"/>
          <w:noProof/>
          <w:lang w:val="en-US"/>
        </w:rPr>
        <w:t>, 974–983 (2009).</w:t>
      </w:r>
    </w:p>
    <w:p w14:paraId="4507F1D2"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4.</w:t>
      </w:r>
      <w:r w:rsidRPr="0069088C">
        <w:rPr>
          <w:rFonts w:ascii="Times New Roman" w:hAnsi="Times New Roman" w:cs="Times New Roman"/>
          <w:noProof/>
          <w:lang w:val="en-US"/>
        </w:rPr>
        <w:tab/>
        <w:t xml:space="preserve">Yadav, S.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Making of water soluble curcumin to potentiate conventional antimicrobials by inducing apoptosis-like phenomena among drug-resistant bacteria. </w:t>
      </w:r>
      <w:r w:rsidRPr="0069088C">
        <w:rPr>
          <w:rFonts w:ascii="Times New Roman" w:hAnsi="Times New Roman" w:cs="Times New Roman"/>
          <w:i/>
          <w:iCs/>
          <w:noProof/>
          <w:lang w:val="en-US"/>
        </w:rPr>
        <w:t>Sci. Rep.</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10</w:t>
      </w:r>
      <w:r w:rsidRPr="0069088C">
        <w:rPr>
          <w:rFonts w:ascii="Times New Roman" w:hAnsi="Times New Roman" w:cs="Times New Roman"/>
          <w:noProof/>
          <w:lang w:val="en-US"/>
        </w:rPr>
        <w:t>, 1–22 (2020).</w:t>
      </w:r>
    </w:p>
    <w:p w14:paraId="5CD4D77C"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5.</w:t>
      </w:r>
      <w:r w:rsidRPr="0069088C">
        <w:rPr>
          <w:rFonts w:ascii="Times New Roman" w:hAnsi="Times New Roman" w:cs="Times New Roman"/>
          <w:noProof/>
          <w:lang w:val="en-US"/>
        </w:rPr>
        <w:tab/>
        <w:t xml:space="preserve">Blair, J. M. A., Webber, M. A., Baylay, A. J., Ogbolu, D. O. &amp; Piddock, L. J. V. Molecular mechanisms of antibiotic resistance. </w:t>
      </w:r>
      <w:r w:rsidRPr="0069088C">
        <w:rPr>
          <w:rFonts w:ascii="Times New Roman" w:hAnsi="Times New Roman" w:cs="Times New Roman"/>
          <w:i/>
          <w:iCs/>
          <w:noProof/>
          <w:lang w:val="en-US"/>
        </w:rPr>
        <w:t>Nat. Rev. Microbiol.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13</w:t>
      </w:r>
      <w:r w:rsidRPr="0069088C">
        <w:rPr>
          <w:rFonts w:ascii="Times New Roman" w:hAnsi="Times New Roman" w:cs="Times New Roman"/>
          <w:noProof/>
          <w:lang w:val="en-US"/>
        </w:rPr>
        <w:t>, 42–51 (2015).</w:t>
      </w:r>
    </w:p>
    <w:p w14:paraId="6C5B93D9"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6.</w:t>
      </w:r>
      <w:r w:rsidRPr="0069088C">
        <w:rPr>
          <w:rFonts w:ascii="Times New Roman" w:hAnsi="Times New Roman" w:cs="Times New Roman"/>
          <w:noProof/>
          <w:lang w:val="en-US"/>
        </w:rPr>
        <w:tab/>
        <w:t xml:space="preserve">Peterson, E. &amp; Kaur, P. Antibiotic resistance mechanisms in bacteria: Relationships between resistance determinants of antibiotic producers, </w:t>
      </w:r>
      <w:r w:rsidRPr="0069088C">
        <w:rPr>
          <w:rFonts w:ascii="Times New Roman" w:hAnsi="Times New Roman" w:cs="Times New Roman"/>
          <w:noProof/>
          <w:lang w:val="en-US"/>
        </w:rPr>
        <w:lastRenderedPageBreak/>
        <w:t xml:space="preserve">environmental bacteria, and clinical pathogens. </w:t>
      </w:r>
      <w:r w:rsidRPr="0069088C">
        <w:rPr>
          <w:rFonts w:ascii="Times New Roman" w:hAnsi="Times New Roman" w:cs="Times New Roman"/>
          <w:i/>
          <w:iCs/>
          <w:noProof/>
          <w:lang w:val="en-US"/>
        </w:rPr>
        <w:t>Front. Microbiol.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9</w:t>
      </w:r>
      <w:r w:rsidRPr="0069088C">
        <w:rPr>
          <w:rFonts w:ascii="Times New Roman" w:hAnsi="Times New Roman" w:cs="Times New Roman"/>
          <w:noProof/>
          <w:lang w:val="en-US"/>
        </w:rPr>
        <w:t>, 1–21 (2018).</w:t>
      </w:r>
    </w:p>
    <w:p w14:paraId="1043E9F1"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7.</w:t>
      </w:r>
      <w:r w:rsidRPr="0069088C">
        <w:rPr>
          <w:rFonts w:ascii="Times New Roman" w:hAnsi="Times New Roman" w:cs="Times New Roman"/>
          <w:noProof/>
          <w:lang w:val="en-US"/>
        </w:rPr>
        <w:tab/>
        <w:t xml:space="preserve">Wozniak, A. &amp; Grinholc, M. Combined Antimicrobial Activity of Photodynamic Inactivation and Antimicrobials–State of the Art. </w:t>
      </w:r>
      <w:r w:rsidRPr="0069088C">
        <w:rPr>
          <w:rFonts w:ascii="Times New Roman" w:hAnsi="Times New Roman" w:cs="Times New Roman"/>
          <w:i/>
          <w:iCs/>
          <w:noProof/>
          <w:lang w:val="en-US"/>
        </w:rPr>
        <w:t>Front. Microbiol.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9</w:t>
      </w:r>
      <w:r w:rsidRPr="0069088C">
        <w:rPr>
          <w:rFonts w:ascii="Times New Roman" w:hAnsi="Times New Roman" w:cs="Times New Roman"/>
          <w:noProof/>
          <w:lang w:val="en-US"/>
        </w:rPr>
        <w:t>, (2018).</w:t>
      </w:r>
    </w:p>
    <w:p w14:paraId="18726AA4"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8.</w:t>
      </w:r>
      <w:r w:rsidRPr="0069088C">
        <w:rPr>
          <w:rFonts w:ascii="Times New Roman" w:hAnsi="Times New Roman" w:cs="Times New Roman"/>
          <w:noProof/>
          <w:lang w:val="en-US"/>
        </w:rPr>
        <w:tab/>
        <w:t xml:space="preserve">Wainwright, M.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Photoantimicrobials—are we afraid of the light? </w:t>
      </w:r>
      <w:r w:rsidRPr="0069088C">
        <w:rPr>
          <w:rFonts w:ascii="Times New Roman" w:hAnsi="Times New Roman" w:cs="Times New Roman"/>
          <w:i/>
          <w:iCs/>
          <w:noProof/>
          <w:lang w:val="en-US"/>
        </w:rPr>
        <w:t>Lancet Infect. Dis.</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17</w:t>
      </w:r>
      <w:r w:rsidRPr="0069088C">
        <w:rPr>
          <w:rFonts w:ascii="Times New Roman" w:hAnsi="Times New Roman" w:cs="Times New Roman"/>
          <w:noProof/>
          <w:lang w:val="en-US"/>
        </w:rPr>
        <w:t>, e49–e55 (2017).</w:t>
      </w:r>
    </w:p>
    <w:p w14:paraId="7871CFDF"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9.</w:t>
      </w:r>
      <w:r w:rsidRPr="0069088C">
        <w:rPr>
          <w:rFonts w:ascii="Times New Roman" w:hAnsi="Times New Roman" w:cs="Times New Roman"/>
          <w:noProof/>
          <w:lang w:val="en-US"/>
        </w:rPr>
        <w:tab/>
        <w:t xml:space="preserve">Bacellar, I., Tsubone, T., Pavani, C. &amp; Baptista, M. Photodynamic Efficiency: From Molecular Photochemistry to Cell Death. </w:t>
      </w:r>
      <w:r w:rsidRPr="0069088C">
        <w:rPr>
          <w:rFonts w:ascii="Times New Roman" w:hAnsi="Times New Roman" w:cs="Times New Roman"/>
          <w:i/>
          <w:iCs/>
          <w:noProof/>
          <w:lang w:val="en-US"/>
        </w:rPr>
        <w:t>Int. J. Mol. Sci.</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16</w:t>
      </w:r>
      <w:r w:rsidRPr="0069088C">
        <w:rPr>
          <w:rFonts w:ascii="Times New Roman" w:hAnsi="Times New Roman" w:cs="Times New Roman"/>
          <w:noProof/>
          <w:lang w:val="en-US"/>
        </w:rPr>
        <w:t>, 20523–20559 (2015).</w:t>
      </w:r>
    </w:p>
    <w:p w14:paraId="414083FD"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10.</w:t>
      </w:r>
      <w:r w:rsidRPr="0069088C">
        <w:rPr>
          <w:rFonts w:ascii="Times New Roman" w:hAnsi="Times New Roman" w:cs="Times New Roman"/>
          <w:noProof/>
          <w:lang w:val="en-US"/>
        </w:rPr>
        <w:tab/>
        <w:t xml:space="preserve">Hamblin, M. R. &amp; Hasan, T. Photodynamic therapy: a new antimicrobial approach to infectious disease? </w:t>
      </w:r>
      <w:r w:rsidRPr="0069088C">
        <w:rPr>
          <w:rFonts w:ascii="Times New Roman" w:hAnsi="Times New Roman" w:cs="Times New Roman"/>
          <w:i/>
          <w:iCs/>
          <w:noProof/>
          <w:lang w:val="en-US"/>
        </w:rPr>
        <w:t>Photochem. Photobiol. Sci.</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3</w:t>
      </w:r>
      <w:r w:rsidRPr="0069088C">
        <w:rPr>
          <w:rFonts w:ascii="Times New Roman" w:hAnsi="Times New Roman" w:cs="Times New Roman"/>
          <w:noProof/>
          <w:lang w:val="en-US"/>
        </w:rPr>
        <w:t>, 436 (2004).</w:t>
      </w:r>
    </w:p>
    <w:p w14:paraId="631462FD"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11.</w:t>
      </w:r>
      <w:r w:rsidRPr="0069088C">
        <w:rPr>
          <w:rFonts w:ascii="Times New Roman" w:hAnsi="Times New Roman" w:cs="Times New Roman"/>
          <w:noProof/>
          <w:lang w:val="en-US"/>
        </w:rPr>
        <w:tab/>
        <w:t xml:space="preserve">Brynildsen, M. P., Winkler, J. A., Spina, C. S., MacDonald, I. C. &amp; Collins, J. J. Potentiating antibacterial activity by predictably enhancing endogenous microbial ROS production. </w:t>
      </w:r>
      <w:r w:rsidRPr="0069088C">
        <w:rPr>
          <w:rFonts w:ascii="Times New Roman" w:hAnsi="Times New Roman" w:cs="Times New Roman"/>
          <w:i/>
          <w:iCs/>
          <w:noProof/>
          <w:lang w:val="en-US"/>
        </w:rPr>
        <w:t>Nat. Biotechnol.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31</w:t>
      </w:r>
      <w:r w:rsidRPr="0069088C">
        <w:rPr>
          <w:rFonts w:ascii="Times New Roman" w:hAnsi="Times New Roman" w:cs="Times New Roman"/>
          <w:noProof/>
          <w:lang w:val="en-US"/>
        </w:rPr>
        <w:t>, 160–165 (2013).</w:t>
      </w:r>
    </w:p>
    <w:p w14:paraId="20267B33"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12.</w:t>
      </w:r>
      <w:r w:rsidRPr="0069088C">
        <w:rPr>
          <w:rFonts w:ascii="Times New Roman" w:hAnsi="Times New Roman" w:cs="Times New Roman"/>
          <w:noProof/>
          <w:lang w:val="en-US"/>
        </w:rPr>
        <w:tab/>
        <w:t>Elsevier. Penicillins Comparative studies Penicillins versus carbapenems Penicillins versus monobactams. (2016). doi:10.1016/B978-0-444-53717-1.01237-3</w:t>
      </w:r>
    </w:p>
    <w:p w14:paraId="7F510D98"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13.</w:t>
      </w:r>
      <w:r w:rsidRPr="0069088C">
        <w:rPr>
          <w:rFonts w:ascii="Times New Roman" w:hAnsi="Times New Roman" w:cs="Times New Roman"/>
          <w:noProof/>
          <w:lang w:val="en-US"/>
        </w:rPr>
        <w:tab/>
        <w:t xml:space="preserve">Majer, J. Macrolide Antibiotics. in </w:t>
      </w:r>
      <w:r w:rsidRPr="0069088C">
        <w:rPr>
          <w:rFonts w:ascii="Times New Roman" w:hAnsi="Times New Roman" w:cs="Times New Roman"/>
          <w:i/>
          <w:iCs/>
          <w:noProof/>
          <w:lang w:val="en-US"/>
        </w:rPr>
        <w:t>Journal of Chromatography Library</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15</w:t>
      </w:r>
      <w:r w:rsidRPr="0069088C">
        <w:rPr>
          <w:rFonts w:ascii="Times New Roman" w:hAnsi="Times New Roman" w:cs="Times New Roman"/>
          <w:noProof/>
          <w:lang w:val="en-US"/>
        </w:rPr>
        <w:t>, 273–308 (1978).</w:t>
      </w:r>
    </w:p>
    <w:p w14:paraId="638377A7"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14.</w:t>
      </w:r>
      <w:r w:rsidRPr="0069088C">
        <w:rPr>
          <w:rFonts w:ascii="Times New Roman" w:hAnsi="Times New Roman" w:cs="Times New Roman"/>
          <w:noProof/>
          <w:lang w:val="en-US"/>
        </w:rPr>
        <w:tab/>
        <w:t>Studies, D. &amp; Information, G. Aminoglycoside antibiotics Observational studies and reactions Neuromuscular function. (2016). doi:10.1016/B978-0-444-53717-1.00270-5</w:t>
      </w:r>
    </w:p>
    <w:p w14:paraId="45923030"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15.</w:t>
      </w:r>
      <w:r w:rsidRPr="0069088C">
        <w:rPr>
          <w:rFonts w:ascii="Times New Roman" w:hAnsi="Times New Roman" w:cs="Times New Roman"/>
          <w:noProof/>
          <w:lang w:val="en-US"/>
        </w:rPr>
        <w:tab/>
        <w:t xml:space="preserve">Clinical and Laboratory Standards Institute. </w:t>
      </w:r>
      <w:r w:rsidRPr="0069088C">
        <w:rPr>
          <w:rFonts w:ascii="Times New Roman" w:hAnsi="Times New Roman" w:cs="Times New Roman"/>
          <w:i/>
          <w:iCs/>
          <w:noProof/>
          <w:lang w:val="en-US"/>
        </w:rPr>
        <w:t>Performance Standards for Antimicrobial Susceptibility Testing; Fifteenth Informational Supplement</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25</w:t>
      </w:r>
      <w:r w:rsidRPr="0069088C">
        <w:rPr>
          <w:rFonts w:ascii="Times New Roman" w:hAnsi="Times New Roman" w:cs="Times New Roman"/>
          <w:noProof/>
          <w:lang w:val="en-US"/>
        </w:rPr>
        <w:t>, (2005).</w:t>
      </w:r>
    </w:p>
    <w:p w14:paraId="144F7835"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16.</w:t>
      </w:r>
      <w:r w:rsidRPr="0069088C">
        <w:rPr>
          <w:rFonts w:ascii="Times New Roman" w:hAnsi="Times New Roman" w:cs="Times New Roman"/>
          <w:noProof/>
          <w:lang w:val="en-US"/>
        </w:rPr>
        <w:tab/>
        <w:t xml:space="preserve">Siriwong, S., Teethaisong, Y., Thumanu, K., Dunkhunthod, B. &amp; Eumkeb, G. The synergy and mode of action of quercetin plus amoxicillin against amoxicillin-resistant Staphylococcus epidermidis. </w:t>
      </w:r>
      <w:r w:rsidRPr="0069088C">
        <w:rPr>
          <w:rFonts w:ascii="Times New Roman" w:hAnsi="Times New Roman" w:cs="Times New Roman"/>
          <w:i/>
          <w:iCs/>
          <w:noProof/>
          <w:lang w:val="en-US"/>
        </w:rPr>
        <w:t>BMC Pharmacol. Toxicol.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17</w:t>
      </w:r>
      <w:r w:rsidRPr="0069088C">
        <w:rPr>
          <w:rFonts w:ascii="Times New Roman" w:hAnsi="Times New Roman" w:cs="Times New Roman"/>
          <w:noProof/>
          <w:lang w:val="en-US"/>
        </w:rPr>
        <w:t>, 1–14 (2016).</w:t>
      </w:r>
    </w:p>
    <w:p w14:paraId="47C349C4"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17.</w:t>
      </w:r>
      <w:r w:rsidRPr="0069088C">
        <w:rPr>
          <w:rFonts w:ascii="Times New Roman" w:hAnsi="Times New Roman" w:cs="Times New Roman"/>
          <w:noProof/>
          <w:lang w:val="en-US"/>
        </w:rPr>
        <w:tab/>
        <w:t xml:space="preserve">Webber, J., Kessel, D. &amp; Fromm, D. Side effects and photosensitization of human tissues after aminolevulinic acid. </w:t>
      </w:r>
      <w:r w:rsidRPr="0069088C">
        <w:rPr>
          <w:rFonts w:ascii="Times New Roman" w:hAnsi="Times New Roman" w:cs="Times New Roman"/>
          <w:i/>
          <w:iCs/>
          <w:noProof/>
          <w:lang w:val="en-US"/>
        </w:rPr>
        <w:t>J. Surg. Res.</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68</w:t>
      </w:r>
      <w:r w:rsidRPr="0069088C">
        <w:rPr>
          <w:rFonts w:ascii="Times New Roman" w:hAnsi="Times New Roman" w:cs="Times New Roman"/>
          <w:noProof/>
          <w:lang w:val="en-US"/>
        </w:rPr>
        <w:t>, 31–37 (1997).</w:t>
      </w:r>
    </w:p>
    <w:p w14:paraId="29F1CD1B"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lastRenderedPageBreak/>
        <w:t>18.</w:t>
      </w:r>
      <w:r w:rsidRPr="0069088C">
        <w:rPr>
          <w:rFonts w:ascii="Times New Roman" w:hAnsi="Times New Roman" w:cs="Times New Roman"/>
          <w:noProof/>
          <w:lang w:val="en-US"/>
        </w:rPr>
        <w:tab/>
        <w:t xml:space="preserve">Courtney, C. M.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Potentiating antibiotics in drug-resistant clinical isolates via stimuli-activated superoxide generation. </w:t>
      </w:r>
      <w:r w:rsidRPr="0069088C">
        <w:rPr>
          <w:rFonts w:ascii="Times New Roman" w:hAnsi="Times New Roman" w:cs="Times New Roman"/>
          <w:i/>
          <w:iCs/>
          <w:noProof/>
          <w:lang w:val="en-US"/>
        </w:rPr>
        <w:t>Sci. Adv.</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3</w:t>
      </w:r>
      <w:r w:rsidRPr="0069088C">
        <w:rPr>
          <w:rFonts w:ascii="Times New Roman" w:hAnsi="Times New Roman" w:cs="Times New Roman"/>
          <w:noProof/>
          <w:lang w:val="en-US"/>
        </w:rPr>
        <w:t>, 1–11 (2017).</w:t>
      </w:r>
    </w:p>
    <w:p w14:paraId="3C5643AD"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19.</w:t>
      </w:r>
      <w:r w:rsidRPr="0069088C">
        <w:rPr>
          <w:rFonts w:ascii="Times New Roman" w:hAnsi="Times New Roman" w:cs="Times New Roman"/>
          <w:noProof/>
          <w:lang w:val="en-US"/>
        </w:rPr>
        <w:tab/>
        <w:t xml:space="preserve">Pontes, M. H. &amp; Groisman, E. A. Slow growth dictates non-heritable antibiotic resistance in Salmonella enterica. </w:t>
      </w:r>
      <w:r w:rsidRPr="0069088C">
        <w:rPr>
          <w:rFonts w:ascii="Times New Roman" w:hAnsi="Times New Roman" w:cs="Times New Roman"/>
          <w:i/>
          <w:iCs/>
          <w:noProof/>
          <w:lang w:val="en-US"/>
        </w:rPr>
        <w:t>Sci. Signal.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12</w:t>
      </w:r>
      <w:r w:rsidRPr="0069088C">
        <w:rPr>
          <w:rFonts w:ascii="Times New Roman" w:hAnsi="Times New Roman" w:cs="Times New Roman"/>
          <w:noProof/>
          <w:lang w:val="en-US"/>
        </w:rPr>
        <w:t>, (2019).</w:t>
      </w:r>
    </w:p>
    <w:p w14:paraId="546F0688"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20.</w:t>
      </w:r>
      <w:r w:rsidRPr="0069088C">
        <w:rPr>
          <w:rFonts w:ascii="Times New Roman" w:hAnsi="Times New Roman" w:cs="Times New Roman"/>
          <w:noProof/>
          <w:lang w:val="en-US"/>
        </w:rPr>
        <w:tab/>
        <w:t xml:space="preserve">Zou, L.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Synergistic antibacterial activity of silver with antibiotics correlating with the upregulation of the ROS production. </w:t>
      </w:r>
      <w:r w:rsidRPr="0069088C">
        <w:rPr>
          <w:rFonts w:ascii="Times New Roman" w:hAnsi="Times New Roman" w:cs="Times New Roman"/>
          <w:i/>
          <w:iCs/>
          <w:noProof/>
          <w:lang w:val="en-US"/>
        </w:rPr>
        <w:t>Sci. Rep.</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8</w:t>
      </w:r>
      <w:r w:rsidRPr="0069088C">
        <w:rPr>
          <w:rFonts w:ascii="Times New Roman" w:hAnsi="Times New Roman" w:cs="Times New Roman"/>
          <w:noProof/>
          <w:lang w:val="en-US"/>
        </w:rPr>
        <w:t>, 1–11 (2018).</w:t>
      </w:r>
    </w:p>
    <w:p w14:paraId="425A8292"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21.</w:t>
      </w:r>
      <w:r w:rsidRPr="0069088C">
        <w:rPr>
          <w:rFonts w:ascii="Times New Roman" w:hAnsi="Times New Roman" w:cs="Times New Roman"/>
          <w:noProof/>
          <w:lang w:val="en-US"/>
        </w:rPr>
        <w:tab/>
        <w:t xml:space="preserve">Vatansever, F.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Antimicrobial strategies centered around reactive oxygen species - bactericidal antibiotics, photodynamic therapy, and beyond. </w:t>
      </w:r>
      <w:r w:rsidRPr="0069088C">
        <w:rPr>
          <w:rFonts w:ascii="Times New Roman" w:hAnsi="Times New Roman" w:cs="Times New Roman"/>
          <w:i/>
          <w:iCs/>
          <w:noProof/>
          <w:lang w:val="en-US"/>
        </w:rPr>
        <w:t>FEMS Microbiology Reviews</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37</w:t>
      </w:r>
      <w:r w:rsidRPr="0069088C">
        <w:rPr>
          <w:rFonts w:ascii="Times New Roman" w:hAnsi="Times New Roman" w:cs="Times New Roman"/>
          <w:noProof/>
          <w:lang w:val="en-US"/>
        </w:rPr>
        <w:t>, 955–989 (2013).</w:t>
      </w:r>
    </w:p>
    <w:p w14:paraId="254FFBD9"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22.</w:t>
      </w:r>
      <w:r w:rsidRPr="0069088C">
        <w:rPr>
          <w:rFonts w:ascii="Times New Roman" w:hAnsi="Times New Roman" w:cs="Times New Roman"/>
          <w:noProof/>
          <w:lang w:val="en-US"/>
        </w:rPr>
        <w:tab/>
        <w:t xml:space="preserve">Takahashi, N.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Lethality of MalE-LacZ hybrid protein shares mechanistic attributes with oxidative component of antibiotic lethality. </w:t>
      </w:r>
      <w:r w:rsidRPr="0069088C">
        <w:rPr>
          <w:rFonts w:ascii="Times New Roman" w:hAnsi="Times New Roman" w:cs="Times New Roman"/>
          <w:i/>
          <w:iCs/>
          <w:noProof/>
          <w:lang w:val="en-US"/>
        </w:rPr>
        <w:t>Proc. Natl. Acad. Sci. U. S. A.</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114</w:t>
      </w:r>
      <w:r w:rsidRPr="0069088C">
        <w:rPr>
          <w:rFonts w:ascii="Times New Roman" w:hAnsi="Times New Roman" w:cs="Times New Roman"/>
          <w:noProof/>
          <w:lang w:val="en-US"/>
        </w:rPr>
        <w:t>, 9164–9169 (2017).</w:t>
      </w:r>
    </w:p>
    <w:p w14:paraId="087D8163"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23.</w:t>
      </w:r>
      <w:r w:rsidRPr="0069088C">
        <w:rPr>
          <w:rFonts w:ascii="Times New Roman" w:hAnsi="Times New Roman" w:cs="Times New Roman"/>
          <w:noProof/>
          <w:lang w:val="en-US"/>
        </w:rPr>
        <w:tab/>
        <w:t xml:space="preserve">Ingolfsson, H. I., Koeppe, R. E. &amp; Andersen, O. S. Curcumin is a modulator of bilayer material properties. </w:t>
      </w:r>
      <w:r w:rsidRPr="0069088C">
        <w:rPr>
          <w:rFonts w:ascii="Times New Roman" w:hAnsi="Times New Roman" w:cs="Times New Roman"/>
          <w:i/>
          <w:iCs/>
          <w:noProof/>
          <w:lang w:val="en-US"/>
        </w:rPr>
        <w:t>Biochemistry</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46</w:t>
      </w:r>
      <w:r w:rsidRPr="0069088C">
        <w:rPr>
          <w:rFonts w:ascii="Times New Roman" w:hAnsi="Times New Roman" w:cs="Times New Roman"/>
          <w:noProof/>
          <w:lang w:val="en-US"/>
        </w:rPr>
        <w:t>, 10384–10391 (2007).</w:t>
      </w:r>
    </w:p>
    <w:p w14:paraId="51D9665D"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rPr>
      </w:pPr>
      <w:r w:rsidRPr="0069088C">
        <w:rPr>
          <w:rFonts w:ascii="Times New Roman" w:hAnsi="Times New Roman" w:cs="Times New Roman"/>
          <w:noProof/>
          <w:lang w:val="en-US"/>
        </w:rPr>
        <w:t>24.</w:t>
      </w:r>
      <w:r w:rsidRPr="0069088C">
        <w:rPr>
          <w:rFonts w:ascii="Times New Roman" w:hAnsi="Times New Roman" w:cs="Times New Roman"/>
          <w:noProof/>
          <w:lang w:val="en-US"/>
        </w:rPr>
        <w:tab/>
        <w:t xml:space="preserve">Dias, L. D., Blanco, K. C., Mfouo-Tynga, I. S., Inada, N. M. &amp; Bagnato, V. S. Curcumin as a photosensitizer: From molecular structure to recent advances in antimicrobial photodynamic therapy. </w:t>
      </w:r>
      <w:r w:rsidRPr="0069088C">
        <w:rPr>
          <w:rFonts w:ascii="Times New Roman" w:hAnsi="Times New Roman" w:cs="Times New Roman"/>
          <w:i/>
          <w:iCs/>
          <w:noProof/>
        </w:rPr>
        <w:t>J. Photochem. Photobiol. C Photochem. Rev.</w:t>
      </w:r>
      <w:r w:rsidRPr="0069088C">
        <w:rPr>
          <w:rFonts w:ascii="Times New Roman" w:hAnsi="Times New Roman" w:cs="Times New Roman"/>
          <w:noProof/>
        </w:rPr>
        <w:t xml:space="preserve"> </w:t>
      </w:r>
      <w:r w:rsidRPr="0069088C">
        <w:rPr>
          <w:rFonts w:ascii="Times New Roman" w:hAnsi="Times New Roman" w:cs="Times New Roman"/>
          <w:b/>
          <w:bCs/>
          <w:noProof/>
        </w:rPr>
        <w:t>45</w:t>
      </w:r>
      <w:r w:rsidRPr="0069088C">
        <w:rPr>
          <w:rFonts w:ascii="Times New Roman" w:hAnsi="Times New Roman" w:cs="Times New Roman"/>
          <w:noProof/>
        </w:rPr>
        <w:t>, 100384 (2020).</w:t>
      </w:r>
    </w:p>
    <w:p w14:paraId="1C38EEDB"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rPr>
        <w:t>25.</w:t>
      </w:r>
      <w:r w:rsidRPr="0069088C">
        <w:rPr>
          <w:rFonts w:ascii="Times New Roman" w:hAnsi="Times New Roman" w:cs="Times New Roman"/>
          <w:noProof/>
        </w:rPr>
        <w:tab/>
        <w:t xml:space="preserve">Ronqui, M. R., De Aguiar Coletti, T. M. S. F., De Freitas, L. M., Miranda, E. T. &amp; Fontana, C. R. Synergistic antimicrobial effect of photodynamic therapy and ciprofloxacin. </w:t>
      </w:r>
      <w:r w:rsidRPr="0069088C">
        <w:rPr>
          <w:rFonts w:ascii="Times New Roman" w:hAnsi="Times New Roman" w:cs="Times New Roman"/>
          <w:i/>
          <w:iCs/>
          <w:noProof/>
          <w:lang w:val="en-US"/>
        </w:rPr>
        <w:t>J. Photochem. Photobiol. B Biol.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158</w:t>
      </w:r>
      <w:r w:rsidRPr="0069088C">
        <w:rPr>
          <w:rFonts w:ascii="Times New Roman" w:hAnsi="Times New Roman" w:cs="Times New Roman"/>
          <w:noProof/>
          <w:lang w:val="en-US"/>
        </w:rPr>
        <w:t>, 122–129 (2016).</w:t>
      </w:r>
    </w:p>
    <w:p w14:paraId="4F2FFEB5"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26.</w:t>
      </w:r>
      <w:r w:rsidRPr="0069088C">
        <w:rPr>
          <w:rFonts w:ascii="Times New Roman" w:hAnsi="Times New Roman" w:cs="Times New Roman"/>
          <w:noProof/>
          <w:lang w:val="en-US"/>
        </w:rPr>
        <w:tab/>
        <w:t xml:space="preserve">Wang, J. &amp; Zhuan, R. Degradation of antibiotics by advanced oxidation processes: An overview. </w:t>
      </w:r>
      <w:r w:rsidRPr="0069088C">
        <w:rPr>
          <w:rFonts w:ascii="Times New Roman" w:hAnsi="Times New Roman" w:cs="Times New Roman"/>
          <w:i/>
          <w:iCs/>
          <w:noProof/>
          <w:lang w:val="en-US"/>
        </w:rPr>
        <w:t>Sci. Total Environ.</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701</w:t>
      </w:r>
      <w:r w:rsidRPr="0069088C">
        <w:rPr>
          <w:rFonts w:ascii="Times New Roman" w:hAnsi="Times New Roman" w:cs="Times New Roman"/>
          <w:noProof/>
          <w:lang w:val="en-US"/>
        </w:rPr>
        <w:t>, 135023 (2020).</w:t>
      </w:r>
    </w:p>
    <w:p w14:paraId="7F4B339A"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27.</w:t>
      </w:r>
      <w:r w:rsidRPr="0069088C">
        <w:rPr>
          <w:rFonts w:ascii="Times New Roman" w:hAnsi="Times New Roman" w:cs="Times New Roman"/>
          <w:noProof/>
          <w:lang w:val="en-US"/>
        </w:rPr>
        <w:tab/>
        <w:t xml:space="preserve">Ge, L.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The importance of reactive oxygen species on the aqueous phototransformation of sulfonamide antibiotics: kinetics, pathways, and comparisons with direct photolysis. </w:t>
      </w:r>
      <w:r w:rsidRPr="0069088C">
        <w:rPr>
          <w:rFonts w:ascii="Times New Roman" w:hAnsi="Times New Roman" w:cs="Times New Roman"/>
          <w:i/>
          <w:iCs/>
          <w:noProof/>
          <w:lang w:val="en-US"/>
        </w:rPr>
        <w:t>Water Res.</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149</w:t>
      </w:r>
      <w:r w:rsidRPr="0069088C">
        <w:rPr>
          <w:rFonts w:ascii="Times New Roman" w:hAnsi="Times New Roman" w:cs="Times New Roman"/>
          <w:noProof/>
          <w:lang w:val="en-US"/>
        </w:rPr>
        <w:t>, 243–250 (2019).</w:t>
      </w:r>
    </w:p>
    <w:p w14:paraId="03079096"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28.</w:t>
      </w:r>
      <w:r w:rsidRPr="0069088C">
        <w:rPr>
          <w:rFonts w:ascii="Times New Roman" w:hAnsi="Times New Roman" w:cs="Times New Roman"/>
          <w:noProof/>
          <w:lang w:val="en-US"/>
        </w:rPr>
        <w:tab/>
        <w:t xml:space="preserve">Jeong, J., Song, W., Cooper, W. J., Jung, J. &amp; Greaves, J. Degradation of tetracycline antibiotics: Mechanisms and kinetic studies for advanced oxidation/reduction processes. </w:t>
      </w:r>
      <w:r w:rsidRPr="0069088C">
        <w:rPr>
          <w:rFonts w:ascii="Times New Roman" w:hAnsi="Times New Roman" w:cs="Times New Roman"/>
          <w:i/>
          <w:iCs/>
          <w:noProof/>
          <w:lang w:val="en-US"/>
        </w:rPr>
        <w:t>Chemosphere</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78</w:t>
      </w:r>
      <w:r w:rsidRPr="0069088C">
        <w:rPr>
          <w:rFonts w:ascii="Times New Roman" w:hAnsi="Times New Roman" w:cs="Times New Roman"/>
          <w:noProof/>
          <w:lang w:val="en-US"/>
        </w:rPr>
        <w:t>, 533–540 (2010).</w:t>
      </w:r>
    </w:p>
    <w:p w14:paraId="544284DC"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lastRenderedPageBreak/>
        <w:t>29.</w:t>
      </w:r>
      <w:r w:rsidRPr="0069088C">
        <w:rPr>
          <w:rFonts w:ascii="Times New Roman" w:hAnsi="Times New Roman" w:cs="Times New Roman"/>
          <w:noProof/>
          <w:lang w:val="en-US"/>
        </w:rPr>
        <w:tab/>
        <w:t xml:space="preserve">Blanco, K. C. PDT, an Adjuvant Therapy to Antibiotic Failure in Streptococcal Tonsillopharyngitis. </w:t>
      </w:r>
      <w:r w:rsidRPr="0069088C">
        <w:rPr>
          <w:rFonts w:ascii="Times New Roman" w:hAnsi="Times New Roman" w:cs="Times New Roman"/>
          <w:i/>
          <w:iCs/>
          <w:noProof/>
          <w:lang w:val="en-US"/>
        </w:rPr>
        <w:t>Biomed. J. Sci. Tech. Res.</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6</w:t>
      </w:r>
      <w:r w:rsidRPr="0069088C">
        <w:rPr>
          <w:rFonts w:ascii="Times New Roman" w:hAnsi="Times New Roman" w:cs="Times New Roman"/>
          <w:noProof/>
          <w:lang w:val="en-US"/>
        </w:rPr>
        <w:t>, 001–003 (2018).</w:t>
      </w:r>
    </w:p>
    <w:p w14:paraId="16EFD8DF"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30.</w:t>
      </w:r>
      <w:r w:rsidRPr="0069088C">
        <w:rPr>
          <w:rFonts w:ascii="Times New Roman" w:hAnsi="Times New Roman" w:cs="Times New Roman"/>
          <w:noProof/>
          <w:lang w:val="en-US"/>
        </w:rPr>
        <w:tab/>
        <w:t xml:space="preserve">Kassab, G. </w:t>
      </w:r>
      <w:r w:rsidRPr="0069088C">
        <w:rPr>
          <w:rFonts w:ascii="Times New Roman" w:hAnsi="Times New Roman" w:cs="Times New Roman"/>
          <w:i/>
          <w:iCs/>
          <w:noProof/>
          <w:lang w:val="en-US"/>
        </w:rPr>
        <w:t>et al.</w:t>
      </w:r>
      <w:r w:rsidRPr="0069088C">
        <w:rPr>
          <w:rFonts w:ascii="Times New Roman" w:hAnsi="Times New Roman" w:cs="Times New Roman"/>
          <w:noProof/>
          <w:lang w:val="en-US"/>
        </w:rPr>
        <w:t xml:space="preserve"> Safety and delivery efficiency of a photodynamic treatment of the lungs using indocyanine green and extracorporeal near infrared illumination. </w:t>
      </w:r>
      <w:r w:rsidRPr="0069088C">
        <w:rPr>
          <w:rFonts w:ascii="Times New Roman" w:hAnsi="Times New Roman" w:cs="Times New Roman"/>
          <w:i/>
          <w:iCs/>
          <w:noProof/>
          <w:lang w:val="en-US"/>
        </w:rPr>
        <w:t>J. Biophotonics</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13</w:t>
      </w:r>
      <w:r w:rsidRPr="0069088C">
        <w:rPr>
          <w:rFonts w:ascii="Times New Roman" w:hAnsi="Times New Roman" w:cs="Times New Roman"/>
          <w:noProof/>
          <w:lang w:val="en-US"/>
        </w:rPr>
        <w:t>, (2020).</w:t>
      </w:r>
    </w:p>
    <w:p w14:paraId="0A5FB18A"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31.</w:t>
      </w:r>
      <w:r w:rsidRPr="0069088C">
        <w:rPr>
          <w:rFonts w:ascii="Times New Roman" w:hAnsi="Times New Roman" w:cs="Times New Roman"/>
          <w:noProof/>
          <w:lang w:val="en-US"/>
        </w:rPr>
        <w:tab/>
        <w:t xml:space="preserve">Zangirolami, A. C., Inada, N. M., Bagnato, V. S. &amp; Blanco, K. C. Biofilm Destruction on Endotracheal Tubes by Photodynamic Inactivation. </w:t>
      </w:r>
      <w:r w:rsidRPr="0069088C">
        <w:rPr>
          <w:rFonts w:ascii="Times New Roman" w:hAnsi="Times New Roman" w:cs="Times New Roman"/>
          <w:i/>
          <w:iCs/>
          <w:noProof/>
          <w:lang w:val="en-US"/>
        </w:rPr>
        <w:t>Infect. Disord. - Drug Targets</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18</w:t>
      </w:r>
      <w:r w:rsidRPr="0069088C">
        <w:rPr>
          <w:rFonts w:ascii="Times New Roman" w:hAnsi="Times New Roman" w:cs="Times New Roman"/>
          <w:noProof/>
          <w:lang w:val="en-US"/>
        </w:rPr>
        <w:t>, 218–223 (2018).</w:t>
      </w:r>
    </w:p>
    <w:p w14:paraId="142ABC66" w14:textId="77777777" w:rsidR="00DA6877" w:rsidRPr="0069088C" w:rsidRDefault="00DA6877" w:rsidP="00DA6877">
      <w:pPr>
        <w:widowControl w:val="0"/>
        <w:autoSpaceDE w:val="0"/>
        <w:autoSpaceDN w:val="0"/>
        <w:adjustRightInd w:val="0"/>
        <w:ind w:left="640" w:hanging="640"/>
        <w:rPr>
          <w:rFonts w:ascii="Times New Roman" w:hAnsi="Times New Roman" w:cs="Times New Roman"/>
          <w:noProof/>
          <w:lang w:val="en-US"/>
        </w:rPr>
      </w:pPr>
      <w:r w:rsidRPr="0069088C">
        <w:rPr>
          <w:rFonts w:ascii="Times New Roman" w:hAnsi="Times New Roman" w:cs="Times New Roman"/>
          <w:noProof/>
          <w:lang w:val="en-US"/>
        </w:rPr>
        <w:t>32.</w:t>
      </w:r>
      <w:r w:rsidRPr="0069088C">
        <w:rPr>
          <w:rFonts w:ascii="Times New Roman" w:hAnsi="Times New Roman" w:cs="Times New Roman"/>
          <w:noProof/>
          <w:lang w:val="en-US"/>
        </w:rPr>
        <w:tab/>
        <w:t xml:space="preserve">Soares, J. M., Inada, N. M., Bagnato, V. S. &amp; Blanco, K. C. Evolution of surviving Streptoccocus pyogenes from pharyngotonsillitis patients submit to multiple cycles of antimicrobial photodynamic therapy. </w:t>
      </w:r>
      <w:r w:rsidRPr="0069088C">
        <w:rPr>
          <w:rFonts w:ascii="Times New Roman" w:hAnsi="Times New Roman" w:cs="Times New Roman"/>
          <w:i/>
          <w:iCs/>
          <w:noProof/>
          <w:lang w:val="en-US"/>
        </w:rPr>
        <w:t>J. Photochem. Photobiol. B Biol.</w:t>
      </w:r>
      <w:r w:rsidRPr="0069088C">
        <w:rPr>
          <w:rFonts w:ascii="Times New Roman" w:hAnsi="Times New Roman" w:cs="Times New Roman"/>
          <w:noProof/>
          <w:lang w:val="en-US"/>
        </w:rPr>
        <w:t xml:space="preserve"> </w:t>
      </w:r>
      <w:r w:rsidRPr="0069088C">
        <w:rPr>
          <w:rFonts w:ascii="Times New Roman" w:hAnsi="Times New Roman" w:cs="Times New Roman"/>
          <w:b/>
          <w:bCs/>
          <w:noProof/>
          <w:lang w:val="en-US"/>
        </w:rPr>
        <w:t>210</w:t>
      </w:r>
      <w:r w:rsidRPr="0069088C">
        <w:rPr>
          <w:rFonts w:ascii="Times New Roman" w:hAnsi="Times New Roman" w:cs="Times New Roman"/>
          <w:noProof/>
          <w:lang w:val="en-US"/>
        </w:rPr>
        <w:t>, 111985 (2020).</w:t>
      </w:r>
    </w:p>
    <w:p w14:paraId="6982337F" w14:textId="6ECFC386" w:rsidR="00B43F54" w:rsidRPr="0069088C" w:rsidRDefault="00DA6877" w:rsidP="0063300F">
      <w:pPr>
        <w:widowControl w:val="0"/>
        <w:autoSpaceDE w:val="0"/>
        <w:autoSpaceDN w:val="0"/>
        <w:adjustRightInd w:val="0"/>
        <w:ind w:left="640" w:hanging="640"/>
        <w:rPr>
          <w:rFonts w:ascii="Times New Roman" w:hAnsi="Times New Roman" w:cs="Times New Roman"/>
          <w:lang w:val="en-US"/>
        </w:rPr>
      </w:pPr>
      <w:r w:rsidRPr="0069088C">
        <w:rPr>
          <w:rFonts w:ascii="Times New Roman" w:hAnsi="Times New Roman" w:cs="Times New Roman"/>
          <w:noProof/>
          <w:lang w:val="en-US"/>
        </w:rPr>
        <w:t>33.</w:t>
      </w:r>
      <w:r w:rsidRPr="0069088C">
        <w:rPr>
          <w:rFonts w:ascii="Times New Roman" w:hAnsi="Times New Roman" w:cs="Times New Roman"/>
          <w:noProof/>
          <w:lang w:val="en-US"/>
        </w:rPr>
        <w:tab/>
        <w:t xml:space="preserve">Kashef, N. &amp; Hamblin, M. R. Can microbial cells develop resistance to oxidative stress in antimicrobial photodynamic inactivation? </w:t>
      </w:r>
      <w:r w:rsidRPr="0069088C">
        <w:rPr>
          <w:rFonts w:ascii="Times New Roman" w:hAnsi="Times New Roman" w:cs="Times New Roman"/>
          <w:i/>
          <w:iCs/>
          <w:noProof/>
        </w:rPr>
        <w:t>Drug Resist. Updat.</w:t>
      </w:r>
      <w:r w:rsidRPr="0069088C">
        <w:rPr>
          <w:rFonts w:ascii="Times New Roman" w:hAnsi="Times New Roman" w:cs="Times New Roman"/>
          <w:noProof/>
        </w:rPr>
        <w:t xml:space="preserve"> </w:t>
      </w:r>
      <w:r w:rsidRPr="0069088C">
        <w:rPr>
          <w:rFonts w:ascii="Times New Roman" w:hAnsi="Times New Roman" w:cs="Times New Roman"/>
          <w:b/>
          <w:bCs/>
          <w:noProof/>
        </w:rPr>
        <w:t>31</w:t>
      </w:r>
      <w:r w:rsidRPr="0069088C">
        <w:rPr>
          <w:rFonts w:ascii="Times New Roman" w:hAnsi="Times New Roman" w:cs="Times New Roman"/>
          <w:noProof/>
        </w:rPr>
        <w:t>, 31–42 (2017).</w:t>
      </w:r>
      <w:r w:rsidR="00125435" w:rsidRPr="0069088C">
        <w:rPr>
          <w:rFonts w:ascii="Times New Roman" w:hAnsi="Times New Roman" w:cs="Times New Roman"/>
          <w:lang w:val="en-US"/>
        </w:rPr>
        <w:fldChar w:fldCharType="end"/>
      </w:r>
    </w:p>
    <w:sectPr w:rsidR="00B43F54" w:rsidRPr="0069088C" w:rsidSect="0063300F">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F280F"/>
    <w:multiLevelType w:val="multilevel"/>
    <w:tmpl w:val="0128DA5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25957F9B"/>
    <w:multiLevelType w:val="multilevel"/>
    <w:tmpl w:val="5A7CA1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8C85E3E"/>
    <w:multiLevelType w:val="hybridMultilevel"/>
    <w:tmpl w:val="E978434C"/>
    <w:lvl w:ilvl="0" w:tplc="D49847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688165">
    <w:abstractNumId w:val="2"/>
  </w:num>
  <w:num w:numId="2" w16cid:durableId="564218797">
    <w:abstractNumId w:val="1"/>
  </w:num>
  <w:num w:numId="3" w16cid:durableId="1393626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49"/>
    <w:rsid w:val="00006CE0"/>
    <w:rsid w:val="00027A4E"/>
    <w:rsid w:val="00032D69"/>
    <w:rsid w:val="0005298B"/>
    <w:rsid w:val="000537D0"/>
    <w:rsid w:val="00054BCA"/>
    <w:rsid w:val="00080495"/>
    <w:rsid w:val="000937A8"/>
    <w:rsid w:val="000B5E8C"/>
    <w:rsid w:val="000D187B"/>
    <w:rsid w:val="000D54BD"/>
    <w:rsid w:val="000E0FCC"/>
    <w:rsid w:val="000E698E"/>
    <w:rsid w:val="00111B5F"/>
    <w:rsid w:val="0011353C"/>
    <w:rsid w:val="001219ED"/>
    <w:rsid w:val="00125435"/>
    <w:rsid w:val="00127F1D"/>
    <w:rsid w:val="00144073"/>
    <w:rsid w:val="001440F1"/>
    <w:rsid w:val="00150355"/>
    <w:rsid w:val="00173DCD"/>
    <w:rsid w:val="0018432E"/>
    <w:rsid w:val="001976F8"/>
    <w:rsid w:val="001C22D4"/>
    <w:rsid w:val="001C602E"/>
    <w:rsid w:val="001D3E0A"/>
    <w:rsid w:val="001D53AB"/>
    <w:rsid w:val="001D76DD"/>
    <w:rsid w:val="001E15B2"/>
    <w:rsid w:val="001E652B"/>
    <w:rsid w:val="0020237B"/>
    <w:rsid w:val="00207689"/>
    <w:rsid w:val="00212998"/>
    <w:rsid w:val="00214534"/>
    <w:rsid w:val="00245FB8"/>
    <w:rsid w:val="002601F5"/>
    <w:rsid w:val="002618A4"/>
    <w:rsid w:val="00274D6B"/>
    <w:rsid w:val="002802FB"/>
    <w:rsid w:val="00286E79"/>
    <w:rsid w:val="002949F1"/>
    <w:rsid w:val="00296BC1"/>
    <w:rsid w:val="002A31CC"/>
    <w:rsid w:val="002B5DE3"/>
    <w:rsid w:val="002D0048"/>
    <w:rsid w:val="002E0DB6"/>
    <w:rsid w:val="002E7116"/>
    <w:rsid w:val="00324C99"/>
    <w:rsid w:val="00331B91"/>
    <w:rsid w:val="00364037"/>
    <w:rsid w:val="00364576"/>
    <w:rsid w:val="00366C1C"/>
    <w:rsid w:val="003B36C9"/>
    <w:rsid w:val="003D63B1"/>
    <w:rsid w:val="003F1880"/>
    <w:rsid w:val="003F23C8"/>
    <w:rsid w:val="003F7704"/>
    <w:rsid w:val="00404EA4"/>
    <w:rsid w:val="00405698"/>
    <w:rsid w:val="00415C48"/>
    <w:rsid w:val="004439C6"/>
    <w:rsid w:val="00450F1C"/>
    <w:rsid w:val="00461287"/>
    <w:rsid w:val="004712E7"/>
    <w:rsid w:val="00471B68"/>
    <w:rsid w:val="0047767A"/>
    <w:rsid w:val="00485B36"/>
    <w:rsid w:val="00491143"/>
    <w:rsid w:val="004D6371"/>
    <w:rsid w:val="004D7AD0"/>
    <w:rsid w:val="004E01F1"/>
    <w:rsid w:val="004E657C"/>
    <w:rsid w:val="004F0DFE"/>
    <w:rsid w:val="004F58CF"/>
    <w:rsid w:val="00570992"/>
    <w:rsid w:val="00573BFF"/>
    <w:rsid w:val="00582929"/>
    <w:rsid w:val="005A7E8D"/>
    <w:rsid w:val="005B0BB3"/>
    <w:rsid w:val="005B7090"/>
    <w:rsid w:val="005D0874"/>
    <w:rsid w:val="005F04B9"/>
    <w:rsid w:val="005F3376"/>
    <w:rsid w:val="0060368B"/>
    <w:rsid w:val="0061795C"/>
    <w:rsid w:val="006240E3"/>
    <w:rsid w:val="006249C2"/>
    <w:rsid w:val="0063300F"/>
    <w:rsid w:val="00634D10"/>
    <w:rsid w:val="006615DC"/>
    <w:rsid w:val="00665D8D"/>
    <w:rsid w:val="0067401A"/>
    <w:rsid w:val="00675358"/>
    <w:rsid w:val="0069088C"/>
    <w:rsid w:val="006935D3"/>
    <w:rsid w:val="006952EB"/>
    <w:rsid w:val="006A5D97"/>
    <w:rsid w:val="006B4E26"/>
    <w:rsid w:val="006B7A49"/>
    <w:rsid w:val="006C5CF1"/>
    <w:rsid w:val="006D577C"/>
    <w:rsid w:val="00721609"/>
    <w:rsid w:val="0072278A"/>
    <w:rsid w:val="007356A8"/>
    <w:rsid w:val="007458B9"/>
    <w:rsid w:val="00757CC5"/>
    <w:rsid w:val="0077185F"/>
    <w:rsid w:val="00786C7E"/>
    <w:rsid w:val="007A4BE2"/>
    <w:rsid w:val="007B2811"/>
    <w:rsid w:val="007B4A77"/>
    <w:rsid w:val="007B78D1"/>
    <w:rsid w:val="007B7F9B"/>
    <w:rsid w:val="007D765F"/>
    <w:rsid w:val="007E1315"/>
    <w:rsid w:val="007E6EFB"/>
    <w:rsid w:val="007F6B5A"/>
    <w:rsid w:val="00803BB8"/>
    <w:rsid w:val="0081029C"/>
    <w:rsid w:val="0081354A"/>
    <w:rsid w:val="00833AB5"/>
    <w:rsid w:val="0085346B"/>
    <w:rsid w:val="00855DDB"/>
    <w:rsid w:val="00857082"/>
    <w:rsid w:val="00870D59"/>
    <w:rsid w:val="00875A45"/>
    <w:rsid w:val="008800ED"/>
    <w:rsid w:val="00882835"/>
    <w:rsid w:val="00885BD1"/>
    <w:rsid w:val="00890B87"/>
    <w:rsid w:val="00893194"/>
    <w:rsid w:val="00894004"/>
    <w:rsid w:val="00895D0E"/>
    <w:rsid w:val="00897A4F"/>
    <w:rsid w:val="008A6656"/>
    <w:rsid w:val="008C2B03"/>
    <w:rsid w:val="008C4371"/>
    <w:rsid w:val="008D085F"/>
    <w:rsid w:val="008D153D"/>
    <w:rsid w:val="008E166A"/>
    <w:rsid w:val="008E461A"/>
    <w:rsid w:val="0091386B"/>
    <w:rsid w:val="009328FB"/>
    <w:rsid w:val="009341D1"/>
    <w:rsid w:val="009344DB"/>
    <w:rsid w:val="00935D3A"/>
    <w:rsid w:val="009441AB"/>
    <w:rsid w:val="00962F32"/>
    <w:rsid w:val="00984025"/>
    <w:rsid w:val="0099446F"/>
    <w:rsid w:val="009945ED"/>
    <w:rsid w:val="009A6C15"/>
    <w:rsid w:val="009E1025"/>
    <w:rsid w:val="009E25F0"/>
    <w:rsid w:val="009E69FC"/>
    <w:rsid w:val="00A10338"/>
    <w:rsid w:val="00A15488"/>
    <w:rsid w:val="00A30B19"/>
    <w:rsid w:val="00A37F28"/>
    <w:rsid w:val="00A40AFC"/>
    <w:rsid w:val="00A53EF3"/>
    <w:rsid w:val="00A613BF"/>
    <w:rsid w:val="00A70EF7"/>
    <w:rsid w:val="00AA2C24"/>
    <w:rsid w:val="00AB63CF"/>
    <w:rsid w:val="00AC07C0"/>
    <w:rsid w:val="00AC28FD"/>
    <w:rsid w:val="00AD00EB"/>
    <w:rsid w:val="00AE01D6"/>
    <w:rsid w:val="00AE07A2"/>
    <w:rsid w:val="00AE1BE4"/>
    <w:rsid w:val="00AE39D2"/>
    <w:rsid w:val="00AF0868"/>
    <w:rsid w:val="00AF18E5"/>
    <w:rsid w:val="00AF4D6C"/>
    <w:rsid w:val="00AF61A1"/>
    <w:rsid w:val="00AF6487"/>
    <w:rsid w:val="00B213EC"/>
    <w:rsid w:val="00B33CD1"/>
    <w:rsid w:val="00B43F54"/>
    <w:rsid w:val="00B44B1B"/>
    <w:rsid w:val="00B5045F"/>
    <w:rsid w:val="00B73378"/>
    <w:rsid w:val="00B7655F"/>
    <w:rsid w:val="00B82312"/>
    <w:rsid w:val="00BA6F0D"/>
    <w:rsid w:val="00BB321B"/>
    <w:rsid w:val="00BB4426"/>
    <w:rsid w:val="00BC5287"/>
    <w:rsid w:val="00BE7D19"/>
    <w:rsid w:val="00C11B61"/>
    <w:rsid w:val="00C251D7"/>
    <w:rsid w:val="00C31FCD"/>
    <w:rsid w:val="00C33D0B"/>
    <w:rsid w:val="00C463D5"/>
    <w:rsid w:val="00C6291C"/>
    <w:rsid w:val="00C63A0A"/>
    <w:rsid w:val="00C71D0D"/>
    <w:rsid w:val="00C778A9"/>
    <w:rsid w:val="00CA3525"/>
    <w:rsid w:val="00CA51E7"/>
    <w:rsid w:val="00CB2B6F"/>
    <w:rsid w:val="00CB59A7"/>
    <w:rsid w:val="00CB6C69"/>
    <w:rsid w:val="00CD1922"/>
    <w:rsid w:val="00CF41E6"/>
    <w:rsid w:val="00D1534B"/>
    <w:rsid w:val="00D20061"/>
    <w:rsid w:val="00D35702"/>
    <w:rsid w:val="00D51FF4"/>
    <w:rsid w:val="00D5734D"/>
    <w:rsid w:val="00D6467B"/>
    <w:rsid w:val="00D67033"/>
    <w:rsid w:val="00D75987"/>
    <w:rsid w:val="00D776AD"/>
    <w:rsid w:val="00D83928"/>
    <w:rsid w:val="00D925EA"/>
    <w:rsid w:val="00DA6877"/>
    <w:rsid w:val="00DB71F4"/>
    <w:rsid w:val="00DD4897"/>
    <w:rsid w:val="00DE214B"/>
    <w:rsid w:val="00DE4F3F"/>
    <w:rsid w:val="00E12656"/>
    <w:rsid w:val="00E36B5C"/>
    <w:rsid w:val="00E476AF"/>
    <w:rsid w:val="00E500A9"/>
    <w:rsid w:val="00E63806"/>
    <w:rsid w:val="00E65D44"/>
    <w:rsid w:val="00E76F76"/>
    <w:rsid w:val="00EC08A2"/>
    <w:rsid w:val="00EC7538"/>
    <w:rsid w:val="00ED6588"/>
    <w:rsid w:val="00F0462D"/>
    <w:rsid w:val="00F13A4B"/>
    <w:rsid w:val="00F2480B"/>
    <w:rsid w:val="00F27CB5"/>
    <w:rsid w:val="00F36287"/>
    <w:rsid w:val="00F41382"/>
    <w:rsid w:val="00F56304"/>
    <w:rsid w:val="00F65B41"/>
    <w:rsid w:val="00F916B2"/>
    <w:rsid w:val="00F94F98"/>
    <w:rsid w:val="00FC75D5"/>
    <w:rsid w:val="00FF03A6"/>
    <w:rsid w:val="00FF39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96D00"/>
  <w15:chartTrackingRefBased/>
  <w15:docId w15:val="{37AF1B81-2068-4D25-891D-4F3D420A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A49"/>
    <w:pPr>
      <w:spacing w:line="360" w:lineRule="auto"/>
      <w:jc w:val="both"/>
    </w:pPr>
    <w:rPr>
      <w:rFonts w:ascii="Arial" w:eastAsia="Arial" w:hAnsi="Arial" w:cs="Arial"/>
      <w:sz w:val="24"/>
      <w:szCs w:val="24"/>
      <w:lang w:eastAsia="pt-BR"/>
    </w:rPr>
  </w:style>
  <w:style w:type="paragraph" w:styleId="Ttulo1">
    <w:name w:val="heading 1"/>
    <w:basedOn w:val="Normal"/>
    <w:next w:val="Normal"/>
    <w:link w:val="Ttulo1Char"/>
    <w:uiPriority w:val="9"/>
    <w:qFormat/>
    <w:rsid w:val="00B43F54"/>
    <w:pPr>
      <w:keepNext/>
      <w:keepLines/>
      <w:numPr>
        <w:numId w:val="3"/>
      </w:numPr>
      <w:spacing w:before="360"/>
      <w:outlineLvl w:val="0"/>
    </w:pPr>
    <w:rPr>
      <w:rFonts w:eastAsiaTheme="majorEastAsia" w:cstheme="majorBidi"/>
      <w:b/>
      <w:bCs/>
      <w:smallCaps/>
      <w:color w:val="000000" w:themeColor="text1"/>
      <w:szCs w:val="36"/>
    </w:rPr>
  </w:style>
  <w:style w:type="paragraph" w:styleId="Ttulo2">
    <w:name w:val="heading 2"/>
    <w:basedOn w:val="Normal"/>
    <w:next w:val="Normal"/>
    <w:link w:val="Ttulo2Char"/>
    <w:uiPriority w:val="9"/>
    <w:unhideWhenUsed/>
    <w:qFormat/>
    <w:rsid w:val="00B43F54"/>
    <w:pPr>
      <w:keepNext/>
      <w:keepLines/>
      <w:numPr>
        <w:ilvl w:val="1"/>
        <w:numId w:val="3"/>
      </w:numPr>
      <w:spacing w:before="360" w:after="0"/>
      <w:outlineLvl w:val="1"/>
    </w:pPr>
    <w:rPr>
      <w:rFonts w:eastAsiaTheme="majorEastAsia" w:cstheme="majorBidi"/>
      <w:b/>
      <w:bCs/>
      <w:smallCaps/>
      <w:color w:val="000000" w:themeColor="text1"/>
      <w:szCs w:val="28"/>
    </w:rPr>
  </w:style>
  <w:style w:type="paragraph" w:styleId="Ttulo3">
    <w:name w:val="heading 3"/>
    <w:basedOn w:val="Normal"/>
    <w:next w:val="Normal"/>
    <w:link w:val="Ttulo3Char"/>
    <w:uiPriority w:val="9"/>
    <w:unhideWhenUsed/>
    <w:qFormat/>
    <w:rsid w:val="00B43F54"/>
    <w:pPr>
      <w:keepNext/>
      <w:keepLines/>
      <w:numPr>
        <w:ilvl w:val="2"/>
        <w:numId w:val="3"/>
      </w:numPr>
      <w:spacing w:before="200" w:after="0"/>
      <w:outlineLvl w:val="2"/>
    </w:pPr>
    <w:rPr>
      <w:rFonts w:eastAsiaTheme="majorEastAsia" w:cstheme="majorBidi"/>
      <w:b/>
      <w:bCs/>
      <w:color w:val="000000" w:themeColor="text1"/>
    </w:rPr>
  </w:style>
  <w:style w:type="paragraph" w:styleId="Ttulo4">
    <w:name w:val="heading 4"/>
    <w:basedOn w:val="Normal"/>
    <w:next w:val="Normal"/>
    <w:link w:val="Ttulo4Char"/>
    <w:uiPriority w:val="9"/>
    <w:semiHidden/>
    <w:unhideWhenUsed/>
    <w:qFormat/>
    <w:rsid w:val="00B43F54"/>
    <w:pPr>
      <w:keepNext/>
      <w:keepLines/>
      <w:numPr>
        <w:ilvl w:val="3"/>
        <w:numId w:val="3"/>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har"/>
    <w:uiPriority w:val="9"/>
    <w:semiHidden/>
    <w:unhideWhenUsed/>
    <w:qFormat/>
    <w:rsid w:val="00B43F54"/>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har"/>
    <w:uiPriority w:val="9"/>
    <w:semiHidden/>
    <w:unhideWhenUsed/>
    <w:qFormat/>
    <w:rsid w:val="00B43F54"/>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har"/>
    <w:uiPriority w:val="9"/>
    <w:semiHidden/>
    <w:unhideWhenUsed/>
    <w:qFormat/>
    <w:rsid w:val="00B43F5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43F5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43F5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style01">
    <w:name w:val="fontstyle01"/>
    <w:basedOn w:val="Fontepargpadro"/>
    <w:rsid w:val="006B7A49"/>
    <w:rPr>
      <w:rFonts w:ascii="TimesNewRomanPSMT" w:hAnsi="TimesNewRomanPSMT" w:hint="default"/>
      <w:b w:val="0"/>
      <w:bCs w:val="0"/>
      <w:i w:val="0"/>
      <w:iCs w:val="0"/>
      <w:color w:val="000000"/>
      <w:sz w:val="22"/>
      <w:szCs w:val="22"/>
    </w:rPr>
  </w:style>
  <w:style w:type="character" w:styleId="Hyperlink">
    <w:name w:val="Hyperlink"/>
    <w:basedOn w:val="Fontepargpadro"/>
    <w:uiPriority w:val="99"/>
    <w:unhideWhenUsed/>
    <w:rsid w:val="006B7A49"/>
    <w:rPr>
      <w:color w:val="0563C1" w:themeColor="hyperlink"/>
      <w:u w:val="single"/>
    </w:rPr>
  </w:style>
  <w:style w:type="paragraph" w:styleId="Pr-formataoHTML">
    <w:name w:val="HTML Preformatted"/>
    <w:basedOn w:val="Normal"/>
    <w:link w:val="Pr-formataoHTMLChar"/>
    <w:uiPriority w:val="99"/>
    <w:semiHidden/>
    <w:unhideWhenUsed/>
    <w:rsid w:val="006B7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6B7A49"/>
    <w:rPr>
      <w:rFonts w:ascii="Courier New" w:eastAsia="Times New Roman" w:hAnsi="Courier New" w:cs="Courier New"/>
      <w:sz w:val="20"/>
      <w:szCs w:val="20"/>
      <w:lang w:eastAsia="pt-BR"/>
    </w:rPr>
  </w:style>
  <w:style w:type="character" w:customStyle="1" w:styleId="y2iqfc">
    <w:name w:val="y2iqfc"/>
    <w:basedOn w:val="Fontepargpadro"/>
    <w:rsid w:val="006B7A49"/>
  </w:style>
  <w:style w:type="paragraph" w:styleId="PargrafodaLista">
    <w:name w:val="List Paragraph"/>
    <w:basedOn w:val="Normal"/>
    <w:uiPriority w:val="34"/>
    <w:qFormat/>
    <w:rsid w:val="00C6291C"/>
    <w:pPr>
      <w:ind w:left="720"/>
      <w:contextualSpacing/>
    </w:pPr>
  </w:style>
  <w:style w:type="paragraph" w:styleId="Legenda">
    <w:name w:val="caption"/>
    <w:basedOn w:val="Normal"/>
    <w:next w:val="Normal"/>
    <w:uiPriority w:val="35"/>
    <w:unhideWhenUsed/>
    <w:qFormat/>
    <w:rsid w:val="001C22D4"/>
    <w:pPr>
      <w:spacing w:after="200" w:line="240" w:lineRule="auto"/>
    </w:pPr>
    <w:rPr>
      <w:iCs/>
      <w:sz w:val="20"/>
      <w:szCs w:val="18"/>
    </w:rPr>
  </w:style>
  <w:style w:type="character" w:customStyle="1" w:styleId="Ttulo1Char">
    <w:name w:val="Título 1 Char"/>
    <w:basedOn w:val="Fontepargpadro"/>
    <w:link w:val="Ttulo1"/>
    <w:uiPriority w:val="9"/>
    <w:rsid w:val="00B43F54"/>
    <w:rPr>
      <w:rFonts w:ascii="Arial" w:eastAsiaTheme="majorEastAsia" w:hAnsi="Arial" w:cstheme="majorBidi"/>
      <w:b/>
      <w:bCs/>
      <w:smallCaps/>
      <w:color w:val="000000" w:themeColor="text1"/>
      <w:sz w:val="24"/>
      <w:szCs w:val="36"/>
      <w:lang w:eastAsia="pt-BR"/>
    </w:rPr>
  </w:style>
  <w:style w:type="character" w:customStyle="1" w:styleId="Ttulo2Char">
    <w:name w:val="Título 2 Char"/>
    <w:basedOn w:val="Fontepargpadro"/>
    <w:link w:val="Ttulo2"/>
    <w:uiPriority w:val="9"/>
    <w:rsid w:val="00B43F54"/>
    <w:rPr>
      <w:rFonts w:ascii="Arial" w:eastAsiaTheme="majorEastAsia" w:hAnsi="Arial" w:cstheme="majorBidi"/>
      <w:b/>
      <w:bCs/>
      <w:smallCaps/>
      <w:color w:val="000000" w:themeColor="text1"/>
      <w:sz w:val="24"/>
      <w:szCs w:val="28"/>
      <w:lang w:eastAsia="pt-BR"/>
    </w:rPr>
  </w:style>
  <w:style w:type="character" w:customStyle="1" w:styleId="Ttulo3Char">
    <w:name w:val="Título 3 Char"/>
    <w:basedOn w:val="Fontepargpadro"/>
    <w:link w:val="Ttulo3"/>
    <w:uiPriority w:val="9"/>
    <w:rsid w:val="00B43F54"/>
    <w:rPr>
      <w:rFonts w:ascii="Arial" w:eastAsiaTheme="majorEastAsia" w:hAnsi="Arial" w:cstheme="majorBidi"/>
      <w:b/>
      <w:bCs/>
      <w:color w:val="000000" w:themeColor="text1"/>
      <w:sz w:val="24"/>
      <w:szCs w:val="24"/>
      <w:lang w:eastAsia="pt-BR"/>
    </w:rPr>
  </w:style>
  <w:style w:type="character" w:customStyle="1" w:styleId="Ttulo4Char">
    <w:name w:val="Título 4 Char"/>
    <w:basedOn w:val="Fontepargpadro"/>
    <w:link w:val="Ttulo4"/>
    <w:uiPriority w:val="9"/>
    <w:semiHidden/>
    <w:rsid w:val="00B43F54"/>
    <w:rPr>
      <w:rFonts w:asciiTheme="majorHAnsi" w:eastAsiaTheme="majorEastAsia" w:hAnsiTheme="majorHAnsi" w:cstheme="majorBidi"/>
      <w:b/>
      <w:bCs/>
      <w:i/>
      <w:iCs/>
      <w:color w:val="000000" w:themeColor="text1"/>
      <w:sz w:val="24"/>
      <w:szCs w:val="24"/>
      <w:lang w:eastAsia="pt-BR"/>
    </w:rPr>
  </w:style>
  <w:style w:type="character" w:customStyle="1" w:styleId="Ttulo5Char">
    <w:name w:val="Título 5 Char"/>
    <w:basedOn w:val="Fontepargpadro"/>
    <w:link w:val="Ttulo5"/>
    <w:uiPriority w:val="9"/>
    <w:semiHidden/>
    <w:rsid w:val="00B43F54"/>
    <w:rPr>
      <w:rFonts w:asciiTheme="majorHAnsi" w:eastAsiaTheme="majorEastAsia" w:hAnsiTheme="majorHAnsi" w:cstheme="majorBidi"/>
      <w:color w:val="323E4F" w:themeColor="text2" w:themeShade="BF"/>
      <w:sz w:val="24"/>
      <w:szCs w:val="24"/>
      <w:lang w:eastAsia="pt-BR"/>
    </w:rPr>
  </w:style>
  <w:style w:type="character" w:customStyle="1" w:styleId="Ttulo6Char">
    <w:name w:val="Título 6 Char"/>
    <w:basedOn w:val="Fontepargpadro"/>
    <w:link w:val="Ttulo6"/>
    <w:uiPriority w:val="9"/>
    <w:semiHidden/>
    <w:rsid w:val="00B43F54"/>
    <w:rPr>
      <w:rFonts w:asciiTheme="majorHAnsi" w:eastAsiaTheme="majorEastAsia" w:hAnsiTheme="majorHAnsi" w:cstheme="majorBidi"/>
      <w:i/>
      <w:iCs/>
      <w:color w:val="323E4F" w:themeColor="text2" w:themeShade="BF"/>
      <w:sz w:val="24"/>
      <w:szCs w:val="24"/>
      <w:lang w:eastAsia="pt-BR"/>
    </w:rPr>
  </w:style>
  <w:style w:type="character" w:customStyle="1" w:styleId="Ttulo7Char">
    <w:name w:val="Título 7 Char"/>
    <w:basedOn w:val="Fontepargpadro"/>
    <w:link w:val="Ttulo7"/>
    <w:uiPriority w:val="9"/>
    <w:semiHidden/>
    <w:rsid w:val="00B43F54"/>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43F54"/>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B43F54"/>
    <w:rPr>
      <w:rFonts w:asciiTheme="majorHAnsi" w:eastAsiaTheme="majorEastAsia" w:hAnsiTheme="majorHAnsi" w:cstheme="majorBidi"/>
      <w:i/>
      <w:iCs/>
      <w:color w:val="404040" w:themeColor="text1" w:themeTint="BF"/>
      <w:sz w:val="20"/>
      <w:szCs w:val="20"/>
      <w:lang w:eastAsia="pt-BR"/>
    </w:rPr>
  </w:style>
  <w:style w:type="paragraph" w:styleId="Reviso">
    <w:name w:val="Revision"/>
    <w:hidden/>
    <w:uiPriority w:val="99"/>
    <w:semiHidden/>
    <w:rsid w:val="001E15B2"/>
    <w:pPr>
      <w:spacing w:after="0" w:line="240" w:lineRule="auto"/>
    </w:pPr>
    <w:rPr>
      <w:rFonts w:ascii="Arial" w:eastAsia="Arial" w:hAnsi="Arial" w:cs="Arial"/>
      <w:sz w:val="24"/>
      <w:szCs w:val="24"/>
      <w:lang w:eastAsia="pt-BR"/>
    </w:rPr>
  </w:style>
  <w:style w:type="character" w:customStyle="1" w:styleId="apple-converted-space">
    <w:name w:val="apple-converted-space"/>
    <w:basedOn w:val="Fontepargpadro"/>
    <w:rsid w:val="00D75987"/>
  </w:style>
  <w:style w:type="character" w:styleId="Refdecomentrio">
    <w:name w:val="annotation reference"/>
    <w:basedOn w:val="Fontepargpadro"/>
    <w:uiPriority w:val="99"/>
    <w:semiHidden/>
    <w:unhideWhenUsed/>
    <w:rsid w:val="00144073"/>
    <w:rPr>
      <w:sz w:val="16"/>
      <w:szCs w:val="16"/>
    </w:rPr>
  </w:style>
  <w:style w:type="paragraph" w:styleId="Textodecomentrio">
    <w:name w:val="annotation text"/>
    <w:basedOn w:val="Normal"/>
    <w:link w:val="TextodecomentrioChar"/>
    <w:uiPriority w:val="99"/>
    <w:semiHidden/>
    <w:unhideWhenUsed/>
    <w:rsid w:val="0014407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44073"/>
    <w:rPr>
      <w:rFonts w:ascii="Arial" w:eastAsia="Arial"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44073"/>
    <w:rPr>
      <w:b/>
      <w:bCs/>
    </w:rPr>
  </w:style>
  <w:style w:type="character" w:customStyle="1" w:styleId="AssuntodocomentrioChar">
    <w:name w:val="Assunto do comentário Char"/>
    <w:basedOn w:val="TextodecomentrioChar"/>
    <w:link w:val="Assuntodocomentrio"/>
    <w:uiPriority w:val="99"/>
    <w:semiHidden/>
    <w:rsid w:val="00144073"/>
    <w:rPr>
      <w:rFonts w:ascii="Arial" w:eastAsia="Arial" w:hAnsi="Arial" w:cs="Arial"/>
      <w:b/>
      <w:bCs/>
      <w:sz w:val="20"/>
      <w:szCs w:val="20"/>
      <w:lang w:eastAsia="pt-BR"/>
    </w:rPr>
  </w:style>
  <w:style w:type="paragraph" w:styleId="Textodebalo">
    <w:name w:val="Balloon Text"/>
    <w:basedOn w:val="Normal"/>
    <w:link w:val="TextodebaloChar"/>
    <w:uiPriority w:val="99"/>
    <w:semiHidden/>
    <w:unhideWhenUsed/>
    <w:rsid w:val="00665D8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65D8D"/>
    <w:rPr>
      <w:rFonts w:ascii="Segoe UI" w:eastAsia="Arial" w:hAnsi="Segoe UI" w:cs="Segoe UI"/>
      <w:sz w:val="18"/>
      <w:szCs w:val="18"/>
      <w:lang w:eastAsia="pt-BR"/>
    </w:rPr>
  </w:style>
  <w:style w:type="paragraph" w:styleId="NormalWeb">
    <w:name w:val="Normal (Web)"/>
    <w:basedOn w:val="Normal"/>
    <w:uiPriority w:val="99"/>
    <w:semiHidden/>
    <w:unhideWhenUsed/>
    <w:rsid w:val="00F2480B"/>
    <w:pPr>
      <w:spacing w:before="100" w:beforeAutospacing="1" w:after="100" w:afterAutospacing="1" w:line="240" w:lineRule="auto"/>
      <w:jc w:val="left"/>
    </w:pPr>
    <w:rPr>
      <w:rFonts w:ascii="Times New Roman" w:eastAsia="Times New Roman" w:hAnsi="Times New Roman" w:cs="Times New Roman"/>
    </w:rPr>
  </w:style>
  <w:style w:type="character" w:styleId="Nmerodelinha">
    <w:name w:val="line number"/>
    <w:basedOn w:val="Fontepargpadro"/>
    <w:uiPriority w:val="99"/>
    <w:semiHidden/>
    <w:unhideWhenUsed/>
    <w:rsid w:val="00633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2895">
      <w:bodyDiv w:val="1"/>
      <w:marLeft w:val="0"/>
      <w:marRight w:val="0"/>
      <w:marTop w:val="0"/>
      <w:marBottom w:val="0"/>
      <w:divBdr>
        <w:top w:val="none" w:sz="0" w:space="0" w:color="auto"/>
        <w:left w:val="none" w:sz="0" w:space="0" w:color="auto"/>
        <w:bottom w:val="none" w:sz="0" w:space="0" w:color="auto"/>
        <w:right w:val="none" w:sz="0" w:space="0" w:color="auto"/>
      </w:divBdr>
    </w:div>
    <w:div w:id="178087582">
      <w:bodyDiv w:val="1"/>
      <w:marLeft w:val="0"/>
      <w:marRight w:val="0"/>
      <w:marTop w:val="0"/>
      <w:marBottom w:val="0"/>
      <w:divBdr>
        <w:top w:val="none" w:sz="0" w:space="0" w:color="auto"/>
        <w:left w:val="none" w:sz="0" w:space="0" w:color="auto"/>
        <w:bottom w:val="none" w:sz="0" w:space="0" w:color="auto"/>
        <w:right w:val="none" w:sz="0" w:space="0" w:color="auto"/>
      </w:divBdr>
    </w:div>
    <w:div w:id="190808048">
      <w:bodyDiv w:val="1"/>
      <w:marLeft w:val="0"/>
      <w:marRight w:val="0"/>
      <w:marTop w:val="0"/>
      <w:marBottom w:val="0"/>
      <w:divBdr>
        <w:top w:val="none" w:sz="0" w:space="0" w:color="auto"/>
        <w:left w:val="none" w:sz="0" w:space="0" w:color="auto"/>
        <w:bottom w:val="none" w:sz="0" w:space="0" w:color="auto"/>
        <w:right w:val="none" w:sz="0" w:space="0" w:color="auto"/>
      </w:divBdr>
    </w:div>
    <w:div w:id="223224075">
      <w:bodyDiv w:val="1"/>
      <w:marLeft w:val="0"/>
      <w:marRight w:val="0"/>
      <w:marTop w:val="0"/>
      <w:marBottom w:val="0"/>
      <w:divBdr>
        <w:top w:val="none" w:sz="0" w:space="0" w:color="auto"/>
        <w:left w:val="none" w:sz="0" w:space="0" w:color="auto"/>
        <w:bottom w:val="none" w:sz="0" w:space="0" w:color="auto"/>
        <w:right w:val="none" w:sz="0" w:space="0" w:color="auto"/>
      </w:divBdr>
    </w:div>
    <w:div w:id="252011597">
      <w:bodyDiv w:val="1"/>
      <w:marLeft w:val="0"/>
      <w:marRight w:val="0"/>
      <w:marTop w:val="0"/>
      <w:marBottom w:val="0"/>
      <w:divBdr>
        <w:top w:val="none" w:sz="0" w:space="0" w:color="auto"/>
        <w:left w:val="none" w:sz="0" w:space="0" w:color="auto"/>
        <w:bottom w:val="none" w:sz="0" w:space="0" w:color="auto"/>
        <w:right w:val="none" w:sz="0" w:space="0" w:color="auto"/>
      </w:divBdr>
    </w:div>
    <w:div w:id="275914352">
      <w:bodyDiv w:val="1"/>
      <w:marLeft w:val="0"/>
      <w:marRight w:val="0"/>
      <w:marTop w:val="0"/>
      <w:marBottom w:val="0"/>
      <w:divBdr>
        <w:top w:val="none" w:sz="0" w:space="0" w:color="auto"/>
        <w:left w:val="none" w:sz="0" w:space="0" w:color="auto"/>
        <w:bottom w:val="none" w:sz="0" w:space="0" w:color="auto"/>
        <w:right w:val="none" w:sz="0" w:space="0" w:color="auto"/>
      </w:divBdr>
    </w:div>
    <w:div w:id="303854622">
      <w:bodyDiv w:val="1"/>
      <w:marLeft w:val="0"/>
      <w:marRight w:val="0"/>
      <w:marTop w:val="0"/>
      <w:marBottom w:val="0"/>
      <w:divBdr>
        <w:top w:val="none" w:sz="0" w:space="0" w:color="auto"/>
        <w:left w:val="none" w:sz="0" w:space="0" w:color="auto"/>
        <w:bottom w:val="none" w:sz="0" w:space="0" w:color="auto"/>
        <w:right w:val="none" w:sz="0" w:space="0" w:color="auto"/>
      </w:divBdr>
    </w:div>
    <w:div w:id="384068296">
      <w:bodyDiv w:val="1"/>
      <w:marLeft w:val="0"/>
      <w:marRight w:val="0"/>
      <w:marTop w:val="0"/>
      <w:marBottom w:val="0"/>
      <w:divBdr>
        <w:top w:val="none" w:sz="0" w:space="0" w:color="auto"/>
        <w:left w:val="none" w:sz="0" w:space="0" w:color="auto"/>
        <w:bottom w:val="none" w:sz="0" w:space="0" w:color="auto"/>
        <w:right w:val="none" w:sz="0" w:space="0" w:color="auto"/>
      </w:divBdr>
    </w:div>
    <w:div w:id="468790339">
      <w:bodyDiv w:val="1"/>
      <w:marLeft w:val="0"/>
      <w:marRight w:val="0"/>
      <w:marTop w:val="0"/>
      <w:marBottom w:val="0"/>
      <w:divBdr>
        <w:top w:val="none" w:sz="0" w:space="0" w:color="auto"/>
        <w:left w:val="none" w:sz="0" w:space="0" w:color="auto"/>
        <w:bottom w:val="none" w:sz="0" w:space="0" w:color="auto"/>
        <w:right w:val="none" w:sz="0" w:space="0" w:color="auto"/>
      </w:divBdr>
    </w:div>
    <w:div w:id="536042613">
      <w:bodyDiv w:val="1"/>
      <w:marLeft w:val="0"/>
      <w:marRight w:val="0"/>
      <w:marTop w:val="0"/>
      <w:marBottom w:val="0"/>
      <w:divBdr>
        <w:top w:val="none" w:sz="0" w:space="0" w:color="auto"/>
        <w:left w:val="none" w:sz="0" w:space="0" w:color="auto"/>
        <w:bottom w:val="none" w:sz="0" w:space="0" w:color="auto"/>
        <w:right w:val="none" w:sz="0" w:space="0" w:color="auto"/>
      </w:divBdr>
    </w:div>
    <w:div w:id="627053675">
      <w:bodyDiv w:val="1"/>
      <w:marLeft w:val="0"/>
      <w:marRight w:val="0"/>
      <w:marTop w:val="0"/>
      <w:marBottom w:val="0"/>
      <w:divBdr>
        <w:top w:val="none" w:sz="0" w:space="0" w:color="auto"/>
        <w:left w:val="none" w:sz="0" w:space="0" w:color="auto"/>
        <w:bottom w:val="none" w:sz="0" w:space="0" w:color="auto"/>
        <w:right w:val="none" w:sz="0" w:space="0" w:color="auto"/>
      </w:divBdr>
    </w:div>
    <w:div w:id="644242738">
      <w:bodyDiv w:val="1"/>
      <w:marLeft w:val="0"/>
      <w:marRight w:val="0"/>
      <w:marTop w:val="0"/>
      <w:marBottom w:val="0"/>
      <w:divBdr>
        <w:top w:val="none" w:sz="0" w:space="0" w:color="auto"/>
        <w:left w:val="none" w:sz="0" w:space="0" w:color="auto"/>
        <w:bottom w:val="none" w:sz="0" w:space="0" w:color="auto"/>
        <w:right w:val="none" w:sz="0" w:space="0" w:color="auto"/>
      </w:divBdr>
    </w:div>
    <w:div w:id="798838658">
      <w:bodyDiv w:val="1"/>
      <w:marLeft w:val="0"/>
      <w:marRight w:val="0"/>
      <w:marTop w:val="0"/>
      <w:marBottom w:val="0"/>
      <w:divBdr>
        <w:top w:val="none" w:sz="0" w:space="0" w:color="auto"/>
        <w:left w:val="none" w:sz="0" w:space="0" w:color="auto"/>
        <w:bottom w:val="none" w:sz="0" w:space="0" w:color="auto"/>
        <w:right w:val="none" w:sz="0" w:space="0" w:color="auto"/>
      </w:divBdr>
    </w:div>
    <w:div w:id="803933890">
      <w:bodyDiv w:val="1"/>
      <w:marLeft w:val="0"/>
      <w:marRight w:val="0"/>
      <w:marTop w:val="0"/>
      <w:marBottom w:val="0"/>
      <w:divBdr>
        <w:top w:val="none" w:sz="0" w:space="0" w:color="auto"/>
        <w:left w:val="none" w:sz="0" w:space="0" w:color="auto"/>
        <w:bottom w:val="none" w:sz="0" w:space="0" w:color="auto"/>
        <w:right w:val="none" w:sz="0" w:space="0" w:color="auto"/>
      </w:divBdr>
    </w:div>
    <w:div w:id="880242259">
      <w:bodyDiv w:val="1"/>
      <w:marLeft w:val="0"/>
      <w:marRight w:val="0"/>
      <w:marTop w:val="0"/>
      <w:marBottom w:val="0"/>
      <w:divBdr>
        <w:top w:val="none" w:sz="0" w:space="0" w:color="auto"/>
        <w:left w:val="none" w:sz="0" w:space="0" w:color="auto"/>
        <w:bottom w:val="none" w:sz="0" w:space="0" w:color="auto"/>
        <w:right w:val="none" w:sz="0" w:space="0" w:color="auto"/>
      </w:divBdr>
    </w:div>
    <w:div w:id="984822930">
      <w:bodyDiv w:val="1"/>
      <w:marLeft w:val="0"/>
      <w:marRight w:val="0"/>
      <w:marTop w:val="0"/>
      <w:marBottom w:val="0"/>
      <w:divBdr>
        <w:top w:val="none" w:sz="0" w:space="0" w:color="auto"/>
        <w:left w:val="none" w:sz="0" w:space="0" w:color="auto"/>
        <w:bottom w:val="none" w:sz="0" w:space="0" w:color="auto"/>
        <w:right w:val="none" w:sz="0" w:space="0" w:color="auto"/>
      </w:divBdr>
    </w:div>
    <w:div w:id="1073090408">
      <w:bodyDiv w:val="1"/>
      <w:marLeft w:val="0"/>
      <w:marRight w:val="0"/>
      <w:marTop w:val="0"/>
      <w:marBottom w:val="0"/>
      <w:divBdr>
        <w:top w:val="none" w:sz="0" w:space="0" w:color="auto"/>
        <w:left w:val="none" w:sz="0" w:space="0" w:color="auto"/>
        <w:bottom w:val="none" w:sz="0" w:space="0" w:color="auto"/>
        <w:right w:val="none" w:sz="0" w:space="0" w:color="auto"/>
      </w:divBdr>
    </w:div>
    <w:div w:id="1190533464">
      <w:bodyDiv w:val="1"/>
      <w:marLeft w:val="0"/>
      <w:marRight w:val="0"/>
      <w:marTop w:val="0"/>
      <w:marBottom w:val="0"/>
      <w:divBdr>
        <w:top w:val="none" w:sz="0" w:space="0" w:color="auto"/>
        <w:left w:val="none" w:sz="0" w:space="0" w:color="auto"/>
        <w:bottom w:val="none" w:sz="0" w:space="0" w:color="auto"/>
        <w:right w:val="none" w:sz="0" w:space="0" w:color="auto"/>
      </w:divBdr>
    </w:div>
    <w:div w:id="1378241493">
      <w:bodyDiv w:val="1"/>
      <w:marLeft w:val="0"/>
      <w:marRight w:val="0"/>
      <w:marTop w:val="0"/>
      <w:marBottom w:val="0"/>
      <w:divBdr>
        <w:top w:val="none" w:sz="0" w:space="0" w:color="auto"/>
        <w:left w:val="none" w:sz="0" w:space="0" w:color="auto"/>
        <w:bottom w:val="none" w:sz="0" w:space="0" w:color="auto"/>
        <w:right w:val="none" w:sz="0" w:space="0" w:color="auto"/>
      </w:divBdr>
    </w:div>
    <w:div w:id="1398163575">
      <w:bodyDiv w:val="1"/>
      <w:marLeft w:val="0"/>
      <w:marRight w:val="0"/>
      <w:marTop w:val="0"/>
      <w:marBottom w:val="0"/>
      <w:divBdr>
        <w:top w:val="none" w:sz="0" w:space="0" w:color="auto"/>
        <w:left w:val="none" w:sz="0" w:space="0" w:color="auto"/>
        <w:bottom w:val="none" w:sz="0" w:space="0" w:color="auto"/>
        <w:right w:val="none" w:sz="0" w:space="0" w:color="auto"/>
      </w:divBdr>
    </w:div>
    <w:div w:id="1434663993">
      <w:bodyDiv w:val="1"/>
      <w:marLeft w:val="0"/>
      <w:marRight w:val="0"/>
      <w:marTop w:val="0"/>
      <w:marBottom w:val="0"/>
      <w:divBdr>
        <w:top w:val="none" w:sz="0" w:space="0" w:color="auto"/>
        <w:left w:val="none" w:sz="0" w:space="0" w:color="auto"/>
        <w:bottom w:val="none" w:sz="0" w:space="0" w:color="auto"/>
        <w:right w:val="none" w:sz="0" w:space="0" w:color="auto"/>
      </w:divBdr>
    </w:div>
    <w:div w:id="1469546422">
      <w:bodyDiv w:val="1"/>
      <w:marLeft w:val="0"/>
      <w:marRight w:val="0"/>
      <w:marTop w:val="0"/>
      <w:marBottom w:val="0"/>
      <w:divBdr>
        <w:top w:val="none" w:sz="0" w:space="0" w:color="auto"/>
        <w:left w:val="none" w:sz="0" w:space="0" w:color="auto"/>
        <w:bottom w:val="none" w:sz="0" w:space="0" w:color="auto"/>
        <w:right w:val="none" w:sz="0" w:space="0" w:color="auto"/>
      </w:divBdr>
    </w:div>
    <w:div w:id="1757900575">
      <w:bodyDiv w:val="1"/>
      <w:marLeft w:val="0"/>
      <w:marRight w:val="0"/>
      <w:marTop w:val="0"/>
      <w:marBottom w:val="0"/>
      <w:divBdr>
        <w:top w:val="none" w:sz="0" w:space="0" w:color="auto"/>
        <w:left w:val="none" w:sz="0" w:space="0" w:color="auto"/>
        <w:bottom w:val="none" w:sz="0" w:space="0" w:color="auto"/>
        <w:right w:val="none" w:sz="0" w:space="0" w:color="auto"/>
      </w:divBdr>
    </w:div>
    <w:div w:id="1766607842">
      <w:bodyDiv w:val="1"/>
      <w:marLeft w:val="0"/>
      <w:marRight w:val="0"/>
      <w:marTop w:val="0"/>
      <w:marBottom w:val="0"/>
      <w:divBdr>
        <w:top w:val="none" w:sz="0" w:space="0" w:color="auto"/>
        <w:left w:val="none" w:sz="0" w:space="0" w:color="auto"/>
        <w:bottom w:val="none" w:sz="0" w:space="0" w:color="auto"/>
        <w:right w:val="none" w:sz="0" w:space="0" w:color="auto"/>
      </w:divBdr>
    </w:div>
    <w:div w:id="1964073217">
      <w:bodyDiv w:val="1"/>
      <w:marLeft w:val="0"/>
      <w:marRight w:val="0"/>
      <w:marTop w:val="0"/>
      <w:marBottom w:val="0"/>
      <w:divBdr>
        <w:top w:val="none" w:sz="0" w:space="0" w:color="auto"/>
        <w:left w:val="none" w:sz="0" w:space="0" w:color="auto"/>
        <w:bottom w:val="none" w:sz="0" w:space="0" w:color="auto"/>
        <w:right w:val="none" w:sz="0" w:space="0" w:color="auto"/>
      </w:divBdr>
    </w:div>
    <w:div w:id="1984190868">
      <w:bodyDiv w:val="1"/>
      <w:marLeft w:val="0"/>
      <w:marRight w:val="0"/>
      <w:marTop w:val="0"/>
      <w:marBottom w:val="0"/>
      <w:divBdr>
        <w:top w:val="none" w:sz="0" w:space="0" w:color="auto"/>
        <w:left w:val="none" w:sz="0" w:space="0" w:color="auto"/>
        <w:bottom w:val="none" w:sz="0" w:space="0" w:color="auto"/>
        <w:right w:val="none" w:sz="0" w:space="0" w:color="auto"/>
      </w:divBdr>
    </w:div>
    <w:div w:id="2089686052">
      <w:bodyDiv w:val="1"/>
      <w:marLeft w:val="0"/>
      <w:marRight w:val="0"/>
      <w:marTop w:val="0"/>
      <w:marBottom w:val="0"/>
      <w:divBdr>
        <w:top w:val="none" w:sz="0" w:space="0" w:color="auto"/>
        <w:left w:val="none" w:sz="0" w:space="0" w:color="auto"/>
        <w:bottom w:val="none" w:sz="0" w:space="0" w:color="auto"/>
        <w:right w:val="none" w:sz="0" w:space="0" w:color="auto"/>
      </w:divBdr>
    </w:div>
    <w:div w:id="2100711916">
      <w:bodyDiv w:val="1"/>
      <w:marLeft w:val="0"/>
      <w:marRight w:val="0"/>
      <w:marTop w:val="0"/>
      <w:marBottom w:val="0"/>
      <w:divBdr>
        <w:top w:val="none" w:sz="0" w:space="0" w:color="auto"/>
        <w:left w:val="none" w:sz="0" w:space="0" w:color="auto"/>
        <w:bottom w:val="none" w:sz="0" w:space="0" w:color="auto"/>
        <w:right w:val="none" w:sz="0" w:space="0" w:color="auto"/>
      </w:divBdr>
    </w:div>
    <w:div w:id="212685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ennifer.soares@usp.br"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01DC3-002C-48BC-B99D-5FDB28602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20663</Words>
  <Characters>111586</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Vanderlei Bagnato</dc:creator>
  <cp:keywords/>
  <dc:description/>
  <cp:lastModifiedBy>Vanderlei Bagnato</cp:lastModifiedBy>
  <cp:revision>2</cp:revision>
  <dcterms:created xsi:type="dcterms:W3CDTF">2022-05-13T15:18:00Z</dcterms:created>
  <dcterms:modified xsi:type="dcterms:W3CDTF">2022-05-13T15:18:00Z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a0b2a090-ed7a-3d84-afad-2f17fbe6fc04</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http://www.zotero.org/styles/international-journal-of-antimicrobial-agents</vt:lpwstr>
  </property>
  <property fmtid="{D5CDD505-2E9C-101B-9397-08002B2CF9AE}" pid="18" name="Mendeley Recent Style Name 6_1">
    <vt:lpwstr>International Journal of Antimicrobial Agents</vt:lpwstr>
  </property>
  <property fmtid="{D5CDD505-2E9C-101B-9397-08002B2CF9AE}" pid="19" name="Mendeley Recent Style Id 7_1">
    <vt:lpwstr>http://www.zotero.org/styles/journal-of-infectious-diseases</vt:lpwstr>
  </property>
  <property fmtid="{D5CDD505-2E9C-101B-9397-08002B2CF9AE}" pid="20" name="Mendeley Recent Style Name 7_1">
    <vt:lpwstr>Journal of Infectious Diseases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